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1D702" w14:textId="77777777" w:rsidR="00503246" w:rsidRPr="00BA40D0" w:rsidRDefault="00503246">
      <w:pPr>
        <w:widowControl w:val="0"/>
        <w:pBdr>
          <w:top w:val="nil"/>
          <w:left w:val="nil"/>
          <w:bottom w:val="nil"/>
          <w:right w:val="nil"/>
          <w:between w:val="nil"/>
        </w:pBdr>
        <w:spacing w:after="0" w:line="276" w:lineRule="auto"/>
        <w:rPr>
          <w:rFonts w:ascii="Arial" w:eastAsia="Arial" w:hAnsi="Arial" w:cs="Arial"/>
          <w:color w:val="000000" w:themeColor="text1"/>
          <w:sz w:val="22"/>
          <w:szCs w:val="22"/>
        </w:rPr>
      </w:pPr>
    </w:p>
    <w:tbl>
      <w:tblPr>
        <w:tblW w:w="11907" w:type="dxa"/>
        <w:tblInd w:w="1417" w:type="dxa"/>
        <w:tblLayout w:type="fixed"/>
        <w:tblLook w:val="0000" w:firstRow="0" w:lastRow="0" w:firstColumn="0" w:lastColumn="0" w:noHBand="0" w:noVBand="0"/>
      </w:tblPr>
      <w:tblGrid>
        <w:gridCol w:w="4961"/>
        <w:gridCol w:w="6946"/>
      </w:tblGrid>
      <w:tr w:rsidR="00503246" w:rsidRPr="00BA40D0" w14:paraId="13BD74D7" w14:textId="77777777">
        <w:tc>
          <w:tcPr>
            <w:tcW w:w="4961" w:type="dxa"/>
          </w:tcPr>
          <w:p w14:paraId="533274E4" w14:textId="77777777" w:rsidR="00503246" w:rsidRPr="00BA40D0" w:rsidRDefault="00267543">
            <w:pPr>
              <w:spacing w:after="0"/>
              <w:jc w:val="center"/>
              <w:rPr>
                <w:rFonts w:ascii="Times New Roman" w:eastAsia="Times New Roman" w:hAnsi="Times New Roman" w:cs="Times New Roman"/>
                <w:color w:val="000000" w:themeColor="text1"/>
                <w:sz w:val="28"/>
                <w:szCs w:val="28"/>
              </w:rPr>
            </w:pPr>
            <w:r w:rsidRPr="00BA40D0">
              <w:rPr>
                <w:rFonts w:ascii="Times New Roman" w:eastAsia="Times New Roman" w:hAnsi="Times New Roman" w:cs="Times New Roman"/>
                <w:b/>
                <w:color w:val="000000" w:themeColor="text1"/>
                <w:sz w:val="28"/>
                <w:szCs w:val="28"/>
              </w:rPr>
              <w:t>BỘ KHOA HỌC VÀ CÔNG NGHỆ</w:t>
            </w:r>
            <w:r w:rsidRPr="00BA40D0">
              <w:rPr>
                <w:noProof/>
                <w:color w:val="000000" w:themeColor="text1"/>
                <w:lang w:val="en-US"/>
              </w:rPr>
              <mc:AlternateContent>
                <mc:Choice Requires="wps">
                  <w:drawing>
                    <wp:anchor distT="0" distB="0" distL="114300" distR="114300" simplePos="0" relativeHeight="251659264" behindDoc="0" locked="0" layoutInCell="1" hidden="0" allowOverlap="1" wp14:anchorId="6C0D2FE9" wp14:editId="50F3FDD9">
                      <wp:simplePos x="0" y="0"/>
                      <wp:positionH relativeFrom="column">
                        <wp:posOffset>800100</wp:posOffset>
                      </wp:positionH>
                      <wp:positionV relativeFrom="paragraph">
                        <wp:posOffset>279400</wp:posOffset>
                      </wp:positionV>
                      <wp:extent cx="134112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75440" y="3780000"/>
                                <a:ext cx="134112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686B226" id="_x0000_t32" coordsize="21600,21600" o:spt="32" o:oned="t" path="m,l21600,21600e" filled="f">
                      <v:path arrowok="t" fillok="f" o:connecttype="none"/>
                      <o:lock v:ext="edit" shapetype="t"/>
                    </v:shapetype>
                    <v:shape id="Straight Arrow Connector 2" o:spid="_x0000_s1026" type="#_x0000_t32" style="position:absolute;margin-left:63pt;margin-top:22pt;width:105.6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" filled="t">
                      <v:stroke joinstyle="miter"/>
                    </v:shape>
                  </w:pict>
                </mc:Fallback>
              </mc:AlternateContent>
            </w:r>
          </w:p>
        </w:tc>
        <w:tc>
          <w:tcPr>
            <w:tcW w:w="6946" w:type="dxa"/>
          </w:tcPr>
          <w:p w14:paraId="51BB30C2" w14:textId="77777777" w:rsidR="00503246" w:rsidRPr="00BA40D0" w:rsidRDefault="00267543">
            <w:pPr>
              <w:spacing w:after="0"/>
              <w:jc w:val="center"/>
              <w:rPr>
                <w:rFonts w:ascii="Times New Roman" w:eastAsia="Times New Roman" w:hAnsi="Times New Roman" w:cs="Times New Roman"/>
                <w:color w:val="000000" w:themeColor="text1"/>
                <w:sz w:val="28"/>
                <w:szCs w:val="28"/>
              </w:rPr>
            </w:pPr>
            <w:r w:rsidRPr="00BA40D0">
              <w:rPr>
                <w:rFonts w:ascii="Times New Roman" w:eastAsia="Times New Roman" w:hAnsi="Times New Roman" w:cs="Times New Roman"/>
                <w:b/>
                <w:color w:val="000000" w:themeColor="text1"/>
                <w:sz w:val="28"/>
                <w:szCs w:val="28"/>
              </w:rPr>
              <w:t>CỘNG HÒA XÃ HỘI CHỦ NGHĨA VIỆT NAM</w:t>
            </w:r>
          </w:p>
          <w:p w14:paraId="154A6BD4" w14:textId="77777777" w:rsidR="00503246" w:rsidRPr="00BA40D0" w:rsidRDefault="00267543">
            <w:pPr>
              <w:spacing w:after="0"/>
              <w:jc w:val="center"/>
              <w:rPr>
                <w:rFonts w:ascii="Times New Roman" w:eastAsia="Times New Roman" w:hAnsi="Times New Roman" w:cs="Times New Roman"/>
                <w:color w:val="000000" w:themeColor="text1"/>
                <w:sz w:val="28"/>
                <w:szCs w:val="28"/>
              </w:rPr>
            </w:pPr>
            <w:r w:rsidRPr="00BA40D0">
              <w:rPr>
                <w:rFonts w:ascii="Times New Roman" w:eastAsia="Times New Roman" w:hAnsi="Times New Roman" w:cs="Times New Roman"/>
                <w:b/>
                <w:color w:val="000000" w:themeColor="text1"/>
                <w:sz w:val="28"/>
                <w:szCs w:val="28"/>
              </w:rPr>
              <w:t>Độc lập – Tự do – Hạnh phúc</w:t>
            </w:r>
          </w:p>
          <w:p w14:paraId="63176653" w14:textId="77777777" w:rsidR="00503246" w:rsidRPr="00BA40D0" w:rsidRDefault="00267543">
            <w:pPr>
              <w:spacing w:before="240" w:after="0"/>
              <w:jc w:val="center"/>
              <w:rPr>
                <w:rFonts w:ascii="Times New Roman" w:eastAsia="Times New Roman" w:hAnsi="Times New Roman" w:cs="Times New Roman"/>
                <w:color w:val="000000" w:themeColor="text1"/>
              </w:rPr>
            </w:pPr>
            <w:r w:rsidRPr="00BA40D0">
              <w:rPr>
                <w:rFonts w:ascii="Times New Roman" w:eastAsia="Times New Roman" w:hAnsi="Times New Roman" w:cs="Times New Roman"/>
                <w:i/>
                <w:color w:val="000000" w:themeColor="text1"/>
                <w:sz w:val="28"/>
                <w:szCs w:val="28"/>
              </w:rPr>
              <w:t>Hà Nội, ngày    tháng    năm 202</w:t>
            </w:r>
            <w:r w:rsidRPr="00BA40D0">
              <w:rPr>
                <w:noProof/>
                <w:color w:val="000000" w:themeColor="text1"/>
                <w:lang w:val="en-US"/>
              </w:rPr>
              <mc:AlternateContent>
                <mc:Choice Requires="wps">
                  <w:drawing>
                    <wp:anchor distT="0" distB="0" distL="114300" distR="114300" simplePos="0" relativeHeight="251660288" behindDoc="0" locked="0" layoutInCell="1" hidden="0" allowOverlap="1" wp14:anchorId="3B5E3F94" wp14:editId="29B9F120">
                      <wp:simplePos x="0" y="0"/>
                      <wp:positionH relativeFrom="column">
                        <wp:posOffset>1028700</wp:posOffset>
                      </wp:positionH>
                      <wp:positionV relativeFrom="paragraph">
                        <wp:posOffset>38100</wp:posOffset>
                      </wp:positionV>
                      <wp:extent cx="221742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37290" y="3780000"/>
                                <a:ext cx="221742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0BEFC5" id="Straight Arrow Connector 1" o:spid="_x0000_s1026" type="#_x0000_t32" style="position:absolute;margin-left:81pt;margin-top:3pt;width:174.6pt;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" filled="t">
                      <v:stroke joinstyle="miter"/>
                    </v:shape>
                  </w:pict>
                </mc:Fallback>
              </mc:AlternateContent>
            </w:r>
            <w:r w:rsidRPr="00BA40D0">
              <w:rPr>
                <w:rFonts w:ascii="Times New Roman" w:eastAsia="Times New Roman" w:hAnsi="Times New Roman" w:cs="Times New Roman"/>
                <w:i/>
                <w:color w:val="000000" w:themeColor="text1"/>
                <w:sz w:val="28"/>
                <w:szCs w:val="28"/>
              </w:rPr>
              <w:t>6</w:t>
            </w:r>
          </w:p>
        </w:tc>
      </w:tr>
    </w:tbl>
    <w:p w14:paraId="66382B27" w14:textId="77777777" w:rsidR="00503246" w:rsidRPr="00BA40D0" w:rsidRDefault="00503246">
      <w:pPr>
        <w:spacing w:after="0"/>
        <w:jc w:val="center"/>
        <w:rPr>
          <w:rFonts w:ascii="Times New Roman" w:eastAsia="Times New Roman" w:hAnsi="Times New Roman" w:cs="Times New Roman"/>
          <w:color w:val="000000" w:themeColor="text1"/>
        </w:rPr>
      </w:pPr>
    </w:p>
    <w:p w14:paraId="13DC6936" w14:textId="77777777" w:rsidR="00503246" w:rsidRPr="00BA40D0" w:rsidRDefault="00267543">
      <w:pPr>
        <w:spacing w:after="0"/>
        <w:jc w:val="center"/>
        <w:rPr>
          <w:rFonts w:ascii="Times New Roman" w:eastAsia="Times New Roman" w:hAnsi="Times New Roman" w:cs="Times New Roman"/>
          <w:b/>
          <w:color w:val="000000" w:themeColor="text1"/>
          <w:sz w:val="26"/>
          <w:szCs w:val="26"/>
        </w:rPr>
      </w:pPr>
      <w:r w:rsidRPr="00BA40D0">
        <w:rPr>
          <w:rFonts w:ascii="Times New Roman" w:eastAsia="Times New Roman" w:hAnsi="Times New Roman" w:cs="Times New Roman"/>
          <w:b/>
          <w:color w:val="000000" w:themeColor="text1"/>
          <w:sz w:val="26"/>
          <w:szCs w:val="26"/>
        </w:rPr>
        <w:t>BẢN SO SÁNH DỰ THẢO LUẬT SỬA ĐỔI, BỔ SUNG MỘT SỐ ĐIỀU CỦA LUẬT SỞ HỮU TRÍ TUỆ</w:t>
      </w:r>
    </w:p>
    <w:p w14:paraId="09BD01A1" w14:textId="77777777" w:rsidR="00503246" w:rsidRPr="00BA40D0" w:rsidRDefault="00267543">
      <w:pPr>
        <w:spacing w:after="0"/>
        <w:jc w:val="center"/>
        <w:rPr>
          <w:rFonts w:ascii="Times New Roman" w:eastAsia="Times New Roman" w:hAnsi="Times New Roman" w:cs="Times New Roman"/>
          <w:b/>
          <w:color w:val="000000" w:themeColor="text1"/>
          <w:sz w:val="26"/>
          <w:szCs w:val="26"/>
        </w:rPr>
      </w:pPr>
      <w:r w:rsidRPr="00BA40D0">
        <w:rPr>
          <w:rFonts w:ascii="Times New Roman" w:eastAsia="Times New Roman" w:hAnsi="Times New Roman" w:cs="Times New Roman"/>
          <w:b/>
          <w:color w:val="000000" w:themeColor="text1"/>
          <w:sz w:val="26"/>
          <w:szCs w:val="26"/>
        </w:rPr>
        <w:t xml:space="preserve">VỚI LUẬT HIỆN HÀNH </w:t>
      </w:r>
    </w:p>
    <w:p w14:paraId="32F43C21" w14:textId="77777777" w:rsidR="00503246" w:rsidRPr="00BA40D0" w:rsidRDefault="00503246">
      <w:pPr>
        <w:spacing w:after="0"/>
        <w:jc w:val="center"/>
        <w:rPr>
          <w:rFonts w:ascii="Times New Roman" w:eastAsia="Times New Roman" w:hAnsi="Times New Roman" w:cs="Times New Roman"/>
          <w:color w:val="000000" w:themeColor="text1"/>
        </w:rPr>
      </w:pPr>
    </w:p>
    <w:p w14:paraId="5EB39222" w14:textId="77777777" w:rsidR="00503246" w:rsidRPr="00BA40D0" w:rsidRDefault="00267543">
      <w:pPr>
        <w:spacing w:after="0"/>
        <w:jc w:val="both"/>
        <w:rPr>
          <w:rFonts w:ascii="Times New Roman" w:eastAsia="Times New Roman" w:hAnsi="Times New Roman" w:cs="Times New Roman"/>
          <w:color w:val="000000" w:themeColor="text1"/>
          <w:sz w:val="28"/>
        </w:rPr>
      </w:pPr>
      <w:r w:rsidRPr="00BA40D0">
        <w:rPr>
          <w:rFonts w:ascii="Times New Roman" w:eastAsia="Times New Roman" w:hAnsi="Times New Roman" w:cs="Times New Roman"/>
          <w:color w:val="000000" w:themeColor="text1"/>
          <w:sz w:val="28"/>
        </w:rPr>
        <w:t>Luật SHTT hiện hành có tổng số 234 điều.</w:t>
      </w:r>
    </w:p>
    <w:p w14:paraId="29F9FB85" w14:textId="77777777" w:rsidR="00503246" w:rsidRPr="00BA40D0" w:rsidRDefault="00503246">
      <w:pPr>
        <w:spacing w:after="0"/>
        <w:jc w:val="both"/>
        <w:rPr>
          <w:rFonts w:ascii="Times New Roman" w:eastAsia="Times New Roman" w:hAnsi="Times New Roman" w:cs="Times New Roman"/>
          <w:color w:val="000000" w:themeColor="text1"/>
          <w:sz w:val="28"/>
        </w:rPr>
      </w:pPr>
    </w:p>
    <w:tbl>
      <w:tblPr>
        <w:tblW w:w="144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3"/>
        <w:gridCol w:w="4961"/>
        <w:gridCol w:w="4536"/>
      </w:tblGrid>
      <w:tr w:rsidR="00BA40D0" w:rsidRPr="00BA40D0" w14:paraId="74DB5761" w14:textId="77777777">
        <w:trPr>
          <w:tblHeader/>
        </w:trPr>
        <w:tc>
          <w:tcPr>
            <w:tcW w:w="4923" w:type="dxa"/>
            <w:shd w:val="clear" w:color="auto" w:fill="E2EFD9"/>
          </w:tcPr>
          <w:p w14:paraId="7632D6A2" w14:textId="77777777" w:rsidR="00503246" w:rsidRPr="00BA40D0" w:rsidRDefault="00267543">
            <w:pPr>
              <w:spacing w:before="60" w:after="60" w:line="240" w:lineRule="auto"/>
              <w:jc w:val="center"/>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Luật Sở hữu trí tuệ</w:t>
            </w:r>
            <w:r w:rsidRPr="00BA40D0">
              <w:rPr>
                <w:rFonts w:ascii="Times New Roman" w:eastAsia="Times New Roman" w:hAnsi="Times New Roman" w:cs="Times New Roman"/>
                <w:b/>
                <w:color w:val="000000" w:themeColor="text1"/>
                <w:vertAlign w:val="superscript"/>
              </w:rPr>
              <w:footnoteReference w:id="1"/>
            </w:r>
          </w:p>
        </w:tc>
        <w:tc>
          <w:tcPr>
            <w:tcW w:w="4961" w:type="dxa"/>
            <w:shd w:val="clear" w:color="auto" w:fill="E2EFD9"/>
          </w:tcPr>
          <w:p w14:paraId="17610355" w14:textId="77777777" w:rsidR="00503246" w:rsidRPr="00BA40D0" w:rsidRDefault="00267543">
            <w:pPr>
              <w:spacing w:before="60" w:after="60" w:line="240" w:lineRule="auto"/>
              <w:jc w:val="center"/>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Dự thảo Luật sửa đổi, bổ sung một số điều của Luật Sở hữu trí tuệ</w:t>
            </w:r>
          </w:p>
        </w:tc>
        <w:tc>
          <w:tcPr>
            <w:tcW w:w="4536" w:type="dxa"/>
            <w:shd w:val="clear" w:color="auto" w:fill="E2EFD9"/>
          </w:tcPr>
          <w:p w14:paraId="7FC99EBB" w14:textId="77777777" w:rsidR="00503246" w:rsidRPr="00BA40D0" w:rsidRDefault="00267543">
            <w:pPr>
              <w:spacing w:before="60" w:after="60" w:line="240" w:lineRule="auto"/>
              <w:jc w:val="center"/>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Thuyết minh</w:t>
            </w:r>
          </w:p>
        </w:tc>
      </w:tr>
      <w:tr w:rsidR="00BA40D0" w:rsidRPr="00BA40D0" w14:paraId="1FE47776" w14:textId="77777777">
        <w:tc>
          <w:tcPr>
            <w:tcW w:w="14420" w:type="dxa"/>
            <w:gridSpan w:val="3"/>
          </w:tcPr>
          <w:p w14:paraId="1DB4105D"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Phần I. NHỮNG QUY ĐỊNH CHUNG</w:t>
            </w:r>
            <w:r w:rsidRPr="00BA40D0">
              <w:rPr>
                <w:rFonts w:ascii="Times New Roman" w:eastAsia="Times New Roman" w:hAnsi="Times New Roman" w:cs="Times New Roman"/>
                <w:b/>
                <w:color w:val="000000" w:themeColor="text1"/>
              </w:rPr>
              <w:tab/>
            </w:r>
          </w:p>
        </w:tc>
      </w:tr>
      <w:tr w:rsidR="00BA40D0" w:rsidRPr="00BA40D0" w14:paraId="59457A0F" w14:textId="77777777">
        <w:tc>
          <w:tcPr>
            <w:tcW w:w="4923" w:type="dxa"/>
          </w:tcPr>
          <w:p w14:paraId="1AC79BC6"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Điều 11. Trách nhiệm quản lý nhà nước về sở hữu trí tuệ</w:t>
            </w:r>
          </w:p>
        </w:tc>
        <w:tc>
          <w:tcPr>
            <w:tcW w:w="4961" w:type="dxa"/>
          </w:tcPr>
          <w:p w14:paraId="76AFAD5A"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11. Trách nhiệm quản lý nhà nước về sở hữu trí tuệ</w:t>
            </w:r>
          </w:p>
        </w:tc>
        <w:tc>
          <w:tcPr>
            <w:tcW w:w="4536" w:type="dxa"/>
          </w:tcPr>
          <w:p w14:paraId="4C9A5F43"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1950E3D" w14:textId="77777777">
        <w:tc>
          <w:tcPr>
            <w:tcW w:w="4923" w:type="dxa"/>
          </w:tcPr>
          <w:p w14:paraId="596880CB" w14:textId="77777777" w:rsidR="00503246" w:rsidRPr="00BA40D0" w:rsidRDefault="00267543">
            <w:pPr>
              <w:spacing w:before="60" w:after="60" w:line="240" w:lineRule="auto"/>
              <w:ind w:firstLine="20"/>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Chính phủ thống nhất quản lý nhà nước về sở hữu trí tuệ.</w:t>
            </w:r>
          </w:p>
        </w:tc>
        <w:tc>
          <w:tcPr>
            <w:tcW w:w="4961" w:type="dxa"/>
          </w:tcPr>
          <w:p w14:paraId="1921C271" w14:textId="77777777" w:rsidR="00503246" w:rsidRPr="00BA40D0" w:rsidRDefault="00267543">
            <w:pPr>
              <w:spacing w:before="60" w:after="60" w:line="240" w:lineRule="auto"/>
              <w:ind w:firstLine="20"/>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3F2D2299"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2682E95B" w14:textId="77777777">
        <w:tc>
          <w:tcPr>
            <w:tcW w:w="4923" w:type="dxa"/>
          </w:tcPr>
          <w:p w14:paraId="0E501F0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2. Bộ Khoa học và Công nghệ chịu trách nhiệm trước Chính phủ chủ trì, phối hợp với Bộ Văn hóa, Thể thao và Du lịch, Bộ Nông nghiệp và Môi trường thực hiện quản lý nhà nước về sở hữu trí tuệ và thực hiện quản lý nhà nước về quyền sở hữu công nghiệp.</w:t>
            </w:r>
          </w:p>
          <w:p w14:paraId="32C2A2A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Bộ Văn hóa, Thể thao và Du lịch trong phạm vi nhiệm vụ, quyền hạn của mình thực hiện quản lý nhà nước về quyền tác giả và quyền liên quan.</w:t>
            </w:r>
          </w:p>
          <w:p w14:paraId="6FE70EC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Bộ Nông nghiệp và Môi trường trong phạm vi nhiệm vụ, quyền hạn của mình thực hiện quản lý nhà nước về quyền đối với giống cây trồng.</w:t>
            </w:r>
          </w:p>
        </w:tc>
        <w:tc>
          <w:tcPr>
            <w:tcW w:w="4961" w:type="dxa"/>
          </w:tcPr>
          <w:p w14:paraId="0E2FAD6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 Bộ Khoa học và Công nghệ chịu trách nhiệm trước Chính phủ chủ trì, phối hợp với Bộ Văn hóa, Thể thao và Du lịch</w:t>
            </w:r>
            <w:r w:rsidRPr="00BA40D0">
              <w:rPr>
                <w:rFonts w:ascii="Times New Roman" w:eastAsia="Times New Roman" w:hAnsi="Times New Roman" w:cs="Times New Roman"/>
                <w:strike/>
                <w:color w:val="000000" w:themeColor="text1"/>
              </w:rPr>
              <w:t>, Bộ Nông nghiệp và Môi trường</w:t>
            </w:r>
            <w:r w:rsidRPr="00BA40D0">
              <w:rPr>
                <w:rFonts w:ascii="Times New Roman" w:eastAsia="Times New Roman" w:hAnsi="Times New Roman" w:cs="Times New Roman"/>
                <w:color w:val="000000" w:themeColor="text1"/>
              </w:rPr>
              <w:t xml:space="preserve"> thực hiện quản lý nhà nước về sở hữu trí tuệ và thực hiện quản lý nhà nước về quyền sở hữu công nghiệp</w:t>
            </w:r>
            <w:r w:rsidRPr="00BA40D0">
              <w:rPr>
                <w:rFonts w:ascii="Times New Roman" w:eastAsia="Times New Roman" w:hAnsi="Times New Roman" w:cs="Times New Roman"/>
                <w:b/>
                <w:bCs/>
                <w:i/>
                <w:iCs/>
                <w:color w:val="000000" w:themeColor="text1"/>
              </w:rPr>
              <w:t>, quyền đối với giống cây trồng</w:t>
            </w:r>
            <w:r w:rsidRPr="00BA40D0">
              <w:rPr>
                <w:rFonts w:ascii="Times New Roman" w:eastAsia="Times New Roman" w:hAnsi="Times New Roman" w:cs="Times New Roman"/>
                <w:color w:val="000000" w:themeColor="text1"/>
              </w:rPr>
              <w:t>.</w:t>
            </w:r>
          </w:p>
          <w:p w14:paraId="561C4E0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Bộ Văn hóa, Thể thao và Du lịch trong phạm vi nhiệm vụ, quyền hạn của mình thực hiện quản lý nhà nước về quyền tác giả và quyền liên quan.</w:t>
            </w:r>
          </w:p>
          <w:p w14:paraId="16E9C420"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Bộ Nông nghiệp và Môi trường trong phạm vi nhiệm vụ, quyền hạn của mình thực hiện quản lý nhà nước về quyền đối với giống cây trồng.</w:t>
            </w:r>
          </w:p>
        </w:tc>
        <w:tc>
          <w:tcPr>
            <w:tcW w:w="4536" w:type="dxa"/>
            <w:vMerge w:val="restart"/>
          </w:tcPr>
          <w:p w14:paraId="2115BCD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Sửa đổi, bổ sung các khoản 2, 3, 5 theo hướng bãi bỏ trách nhiệm quản lý nhà nước về quyền đối với giống cây trồng của Bộ Nông nghiệp và Môi trường; bổ sung trách nhiệm quản lý nhà nước về quyền đối với giống cây trồng của Bộ Khoa học và Công nghệ.</w:t>
            </w:r>
          </w:p>
          <w:p w14:paraId="59FA6D4E" w14:textId="77777777" w:rsidR="00503246" w:rsidRPr="00BA40D0" w:rsidRDefault="00267543">
            <w:pPr>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color w:val="000000" w:themeColor="text1"/>
              </w:rPr>
              <w:lastRenderedPageBreak/>
              <w:t xml:space="preserve">Lý do sửa đổi: </w:t>
            </w:r>
            <w:r w:rsidRPr="00BA40D0">
              <w:rPr>
                <w:rFonts w:ascii="Times New Roman" w:eastAsia="Times New Roman" w:hAnsi="Times New Roman" w:cs="Times New Roman"/>
                <w:bCs/>
                <w:color w:val="000000" w:themeColor="text1"/>
              </w:rPr>
              <w:t>Nhằm thực hiện chủ trương của Đảng về giảm đầu mối để khắc phục tình trạng cồng kềnh, nhiều tầng nấc, chồng chéo chức năng; Nâng cao hiệu lực, hiệu quả quản lý; tiết kiệm ngân sách; Gắn với tinh giản biên chế, nâng cao chất lượng cán bộ và chuyển đổi số (Nghị quyết số 18-NQ/TW, và chủ trương nêu tại các kỳ Đại hội XIII và XIV). Cụ thể như sau:</w:t>
            </w:r>
          </w:p>
          <w:p w14:paraId="77402412"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bCs/>
                <w:i/>
                <w:color w:val="000000" w:themeColor="text1"/>
              </w:rPr>
              <w:t xml:space="preserve">Thứ nhất, việc chuyển chức năng tạo điều kiện khắc phục trực tiếp tình trạng thiếu đầu mối chuyên trách và nhân lực chuyên sâu </w:t>
            </w:r>
          </w:p>
          <w:p w14:paraId="72B4C57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Bộ KH&amp;CN có nền tảng về xây dựng chính sách, pháp luật, xác lập, quản lý và bảo vệ quyền sở hữu trí tuệ. Cách thức tổ chức đơn vị phụ trách riêng về sở hữu trí tuệ của Bộ KH&amp;CN hiện nay tạo điều kiện thuận lợi cho việc tổ chức lại nhiệm vụ bảo hộ giống cây trồng theo hướng hình thành </w:t>
            </w:r>
            <w:r w:rsidRPr="00BA40D0">
              <w:rPr>
                <w:rFonts w:ascii="Times New Roman" w:eastAsia="Times New Roman" w:hAnsi="Times New Roman" w:cs="Times New Roman"/>
                <w:bCs/>
                <w:color w:val="000000" w:themeColor="text1"/>
              </w:rPr>
              <w:t>đầu mối chuyên trách về xác lập và quản trị quyền đối với giống cây trồng</w:t>
            </w:r>
            <w:r w:rsidRPr="00BA40D0">
              <w:rPr>
                <w:rFonts w:ascii="Times New Roman" w:eastAsia="Times New Roman" w:hAnsi="Times New Roman" w:cs="Times New Roman"/>
                <w:color w:val="000000" w:themeColor="text1"/>
              </w:rPr>
              <w:t xml:space="preserve">, xây dựng đội ngũ có kiến thức chuyên sâu về pháp luật sở hữu trí tuệ, nghiệp vụ thẩm định đơn, quản lý văn bằng và xử lý các vấn đề pháp lý sau cấp bằng. </w:t>
            </w:r>
          </w:p>
          <w:p w14:paraId="1C085B0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Mặt khác việc tổ chức như vậy vẫn bảo đảm Bộ KH&amp;CN có thể đảm nhiệm vai trò chủ trì về </w:t>
            </w:r>
            <w:r w:rsidRPr="00BA40D0">
              <w:rPr>
                <w:rFonts w:ascii="Times New Roman" w:eastAsia="Times New Roman" w:hAnsi="Times New Roman" w:cs="Times New Roman"/>
                <w:bCs/>
                <w:color w:val="000000" w:themeColor="text1"/>
              </w:rPr>
              <w:t>pháp luật, chính sách, xác lập và quản trị quyền sở hữu trí tuệ</w:t>
            </w:r>
            <w:r w:rsidRPr="00BA40D0">
              <w:rPr>
                <w:rFonts w:ascii="Times New Roman" w:eastAsia="Times New Roman" w:hAnsi="Times New Roman" w:cs="Times New Roman"/>
                <w:color w:val="000000" w:themeColor="text1"/>
              </w:rPr>
              <w:t xml:space="preserve">, trong khi Bộ NN&amp;MT tiếp tục phát huy thế mạnh về </w:t>
            </w:r>
            <w:r w:rsidRPr="00BA40D0">
              <w:rPr>
                <w:rFonts w:ascii="Times New Roman" w:eastAsia="Times New Roman" w:hAnsi="Times New Roman" w:cs="Times New Roman"/>
                <w:bCs/>
                <w:color w:val="000000" w:themeColor="text1"/>
              </w:rPr>
              <w:t xml:space="preserve">chọn tạo, khảo nghiệm DUS, nguồn gen và chuyên môn kỹ </w:t>
            </w:r>
            <w:r w:rsidRPr="00BA40D0">
              <w:rPr>
                <w:rFonts w:ascii="Times New Roman" w:eastAsia="Times New Roman" w:hAnsi="Times New Roman" w:cs="Times New Roman"/>
                <w:bCs/>
                <w:color w:val="000000" w:themeColor="text1"/>
              </w:rPr>
              <w:lastRenderedPageBreak/>
              <w:t>thuật về giống</w:t>
            </w:r>
            <w:r w:rsidRPr="00BA40D0">
              <w:rPr>
                <w:rFonts w:ascii="Times New Roman" w:eastAsia="Times New Roman" w:hAnsi="Times New Roman" w:cs="Times New Roman"/>
                <w:color w:val="000000" w:themeColor="text1"/>
              </w:rPr>
              <w:t xml:space="preserve">. Theo đó, việc chuyển chức năng không làm mất đi năng lực kỹ thuật của ngành nông nghiệp mà tạo ra cơ chế kết hợp hai cấu phần của bảo hộ giống: </w:t>
            </w:r>
            <w:r w:rsidRPr="00BA40D0">
              <w:rPr>
                <w:rFonts w:ascii="Times New Roman" w:eastAsia="Times New Roman" w:hAnsi="Times New Roman" w:cs="Times New Roman"/>
                <w:bCs/>
                <w:color w:val="000000" w:themeColor="text1"/>
              </w:rPr>
              <w:t>năng lực kỹ thuật để xác định đối tượng đủ điều kiện bảo hộ và năng lực pháp lý để xác lập, quản lý và bảo vệ quyền</w:t>
            </w:r>
            <w:r w:rsidRPr="00BA40D0">
              <w:rPr>
                <w:rFonts w:ascii="Times New Roman" w:eastAsia="Times New Roman" w:hAnsi="Times New Roman" w:cs="Times New Roman"/>
                <w:color w:val="000000" w:themeColor="text1"/>
              </w:rPr>
              <w:t>. Như vậy, việc chuyển chức năng không chỉ thay đổi “địa chỉ quản lý”, mà tạo cơ sở để nâng cao hiệu quả sử dụng nguồn nhân lực chuyên sâu ở cả 2 Bộ.</w:t>
            </w:r>
          </w:p>
          <w:p w14:paraId="079995BB" w14:textId="77777777" w:rsidR="00503246" w:rsidRPr="00BA40D0" w:rsidRDefault="00267543">
            <w:pPr>
              <w:spacing w:before="60" w:after="60" w:line="240" w:lineRule="auto"/>
              <w:jc w:val="both"/>
              <w:rPr>
                <w:rFonts w:ascii="Times New Roman" w:eastAsia="Times New Roman" w:hAnsi="Times New Roman" w:cs="Times New Roman"/>
                <w:b/>
                <w:bCs/>
                <w:i/>
                <w:color w:val="000000" w:themeColor="text1"/>
              </w:rPr>
            </w:pPr>
            <w:r w:rsidRPr="00BA40D0">
              <w:rPr>
                <w:rFonts w:ascii="Times New Roman" w:eastAsia="Times New Roman" w:hAnsi="Times New Roman" w:cs="Times New Roman"/>
                <w:b/>
                <w:bCs/>
                <w:i/>
                <w:color w:val="000000" w:themeColor="text1"/>
              </w:rPr>
              <w:t xml:space="preserve">Thứ hai, việc chuyển chức năng về Bộ KH&amp;CN giúp tận dụng được cơ sở hạ tầng số để tiếp nhận/xử lý đơn, hệ thống công bố/tra cứu thông tin </w:t>
            </w:r>
          </w:p>
          <w:p w14:paraId="2A11ED8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Hiện nay, Bộ NN&amp;MT mới đang có kế hoạch xây dựng hệ thống này.</w:t>
            </w:r>
          </w:p>
          <w:p w14:paraId="0CD1BED7"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bCs/>
                <w:i/>
                <w:color w:val="000000" w:themeColor="text1"/>
              </w:rPr>
              <w:t>Thứ ba, việc chuyển chức năng về Bộ KH&amp;CN sẽ giúp bảo đảm tốt hơn tính thống nhất của hệ thống quản lý nhà nước về sở hữu trí tuệ, giảm khả năng xung đột, tranh chấp quyền</w:t>
            </w:r>
          </w:p>
          <w:p w14:paraId="6593086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Việc đưa bảo hộ giống cây trồng vào cùng hệ thống quản lý sở hữu trí tuệ sẽ tạo điều kiện thống nhất cách tiếp cận đối với toàn bộ quá trình xác lập, quản lý và bảo vệ quyền, đồng thời xử lý tốt hơn các vấn đề giao thoa giữa quyền đối với giống cây trồng với các đối tượng sở hữu công nghiệp. Hiện nay, khi bảo hộ giống cây trồng, theo yêu cầu của pháp luật SHTT và điều ước quốc tế, phải tra cứu, đánh giá tên giống cây trồng với nhãn hiệu </w:t>
            </w:r>
            <w:r w:rsidRPr="00BA40D0">
              <w:rPr>
                <w:rFonts w:ascii="Times New Roman" w:eastAsia="Times New Roman" w:hAnsi="Times New Roman" w:cs="Times New Roman"/>
                <w:color w:val="000000" w:themeColor="text1"/>
              </w:rPr>
              <w:lastRenderedPageBreak/>
              <w:t>được bảo hộ; giống cây trồng ở một góc độ khác cũng có thể là đối tượng được bảo hộ sáng chế.</w:t>
            </w:r>
          </w:p>
          <w:p w14:paraId="54B76B5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bCs/>
                <w:i/>
                <w:color w:val="000000" w:themeColor="text1"/>
              </w:rPr>
              <w:t>Thứ tư, Bộ KH&amp;CN có điều kiện tốt hơn để phát triển hệ thống bảo hộ theo yêu cầu của giai đoạn mới</w:t>
            </w:r>
            <w:r w:rsidRPr="00BA40D0">
              <w:rPr>
                <w:rFonts w:ascii="Times New Roman" w:eastAsia="Times New Roman" w:hAnsi="Times New Roman" w:cs="Times New Roman"/>
                <w:b/>
                <w:bCs/>
                <w:color w:val="000000" w:themeColor="text1"/>
              </w:rPr>
              <w:t>.</w:t>
            </w:r>
          </w:p>
          <w:p w14:paraId="1B9E648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Bảo hộ giống cây trồng đang phát sinh những yêu cầu mới về số hóa hồ sơ, cơ sở dữ liệu, sử dụng chỉ thị phân tử, trao đổi dữ liệu và kết quả khảo nghiệm với cơ quan bảo hộ nước ngoài, xử lý các vấn đề pháp lý phức tạp và tăng cường bảo vệ quyền sau khi cấp bằng. Việc đặt chức năng trong hệ thống quản lý sở hữu trí tuệ sẽ tạo điều kiện kết nối các yêu cầu này với hệ thống dữ liệu, nghiệp vụ, hợp tác quốc tế và cơ chế quản trị quyền sở hữu trí tuệ nói chung.</w:t>
            </w:r>
          </w:p>
        </w:tc>
      </w:tr>
      <w:tr w:rsidR="00BA40D0" w:rsidRPr="00BA40D0" w14:paraId="1CB7FF2D" w14:textId="77777777">
        <w:tc>
          <w:tcPr>
            <w:tcW w:w="4923" w:type="dxa"/>
          </w:tcPr>
          <w:p w14:paraId="073F13E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3. Bộ, cơ quan ngang bộ, cơ quan thuộc Chính phủ trong phạm vi nhiệm vụ, quyền hạn của mình có trách nhiệm phối hợp với Bộ Khoa học và Công nghệ, Bộ Văn hóa, Thể thao và Du lịch, Bộ Nông nghiệp và Môi trường, Ủy ban nhân dân tỉnh, thành phố trực thuộc Trung ương trong việc quản lý nhà nước về sở hữu trí tuệ.</w:t>
            </w:r>
          </w:p>
        </w:tc>
        <w:tc>
          <w:tcPr>
            <w:tcW w:w="4961" w:type="dxa"/>
          </w:tcPr>
          <w:p w14:paraId="19EABE6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Bộ, cơ quan ngang bộ</w:t>
            </w:r>
            <w:r w:rsidRPr="00BA40D0">
              <w:rPr>
                <w:rFonts w:ascii="Times New Roman" w:eastAsia="Times New Roman" w:hAnsi="Times New Roman" w:cs="Times New Roman"/>
                <w:strike/>
                <w:color w:val="000000" w:themeColor="text1"/>
              </w:rPr>
              <w:t>, cơ quan thuộc Chính phủ</w:t>
            </w:r>
            <w:r w:rsidRPr="00BA40D0">
              <w:rPr>
                <w:rFonts w:ascii="Times New Roman" w:eastAsia="Times New Roman" w:hAnsi="Times New Roman" w:cs="Times New Roman"/>
                <w:color w:val="000000" w:themeColor="text1"/>
              </w:rPr>
              <w:t xml:space="preserve"> trong phạm vi nhiệm vụ, quyền hạn của mình có trách nhiệm phối hợp với Bộ Khoa học và Công nghệ, Bộ Văn hóa, Thể thao và Du lịch, </w:t>
            </w:r>
            <w:r w:rsidRPr="00BA40D0">
              <w:rPr>
                <w:rFonts w:ascii="Times New Roman" w:eastAsia="Times New Roman" w:hAnsi="Times New Roman" w:cs="Times New Roman"/>
                <w:strike/>
                <w:color w:val="000000" w:themeColor="text1"/>
              </w:rPr>
              <w:t xml:space="preserve">Bộ Nông nghiệp và Môi trường, </w:t>
            </w:r>
            <w:r w:rsidRPr="00BA40D0">
              <w:rPr>
                <w:rFonts w:ascii="Times New Roman" w:eastAsia="Times New Roman" w:hAnsi="Times New Roman" w:cs="Times New Roman"/>
                <w:color w:val="000000" w:themeColor="text1"/>
              </w:rPr>
              <w:t>Ủy ban nhân dân tỉnh, thành phố trực thuộc Trung ương trong việc quản lý nhà nước về sở hữu trí tuệ.</w:t>
            </w:r>
          </w:p>
        </w:tc>
        <w:tc>
          <w:tcPr>
            <w:tcW w:w="4536" w:type="dxa"/>
            <w:vMerge/>
          </w:tcPr>
          <w:p w14:paraId="5D979EE7"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62209ECD" w14:textId="77777777">
        <w:tc>
          <w:tcPr>
            <w:tcW w:w="4923" w:type="dxa"/>
          </w:tcPr>
          <w:p w14:paraId="59C5337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4. Ủy ban nhân dân các cấp thực hiện quản lý nhà nước về sở hữu trí tuệ tại địa phương theo thẩm quyền.</w:t>
            </w:r>
          </w:p>
        </w:tc>
        <w:tc>
          <w:tcPr>
            <w:tcW w:w="4961" w:type="dxa"/>
          </w:tcPr>
          <w:p w14:paraId="7D545F6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vMerge/>
          </w:tcPr>
          <w:p w14:paraId="28DDDAD3"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3654F401" w14:textId="77777777">
        <w:tc>
          <w:tcPr>
            <w:tcW w:w="4923" w:type="dxa"/>
          </w:tcPr>
          <w:p w14:paraId="1879099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5. Chính phủ quy định cụ thể thẩm quyền, trách nhiệm quản lý nhà nước về sở hữu trí tuệ của Bộ Khoa học và Công nghệ, Bộ Văn hóa, Thể thao và Du lịch, Bộ Nông nghiệp và Môi trường, Ủy ban nhân dân các cấp.</w:t>
            </w:r>
          </w:p>
        </w:tc>
        <w:tc>
          <w:tcPr>
            <w:tcW w:w="4961" w:type="dxa"/>
          </w:tcPr>
          <w:p w14:paraId="7672E8D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5. Chính phủ quy định cụ thể thẩm quyền, trách nhiệm quản lý nhà nước về sở hữu trí tuệ của Bộ Khoa học và Công nghệ, Bộ Văn hóa, Thể thao và Du lịch, </w:t>
            </w:r>
            <w:r w:rsidRPr="00BA40D0">
              <w:rPr>
                <w:rFonts w:ascii="Times New Roman" w:eastAsia="Times New Roman" w:hAnsi="Times New Roman" w:cs="Times New Roman"/>
                <w:strike/>
                <w:color w:val="000000" w:themeColor="text1"/>
              </w:rPr>
              <w:t>Bộ Nông nghiệp và Môi trường,</w:t>
            </w:r>
            <w:r w:rsidRPr="00BA40D0">
              <w:rPr>
                <w:rFonts w:ascii="Times New Roman" w:eastAsia="Times New Roman" w:hAnsi="Times New Roman" w:cs="Times New Roman"/>
                <w:color w:val="000000" w:themeColor="text1"/>
              </w:rPr>
              <w:t xml:space="preserve"> Ủy ban nhân dân các cấp.</w:t>
            </w:r>
          </w:p>
        </w:tc>
        <w:tc>
          <w:tcPr>
            <w:tcW w:w="4536" w:type="dxa"/>
            <w:vMerge/>
          </w:tcPr>
          <w:p w14:paraId="315C206E"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65AF674" w14:textId="77777777">
        <w:tc>
          <w:tcPr>
            <w:tcW w:w="14420" w:type="dxa"/>
            <w:gridSpan w:val="3"/>
          </w:tcPr>
          <w:p w14:paraId="74218E3F"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lastRenderedPageBreak/>
              <w:t>Chương VIII. XÁC LẬP QUYỀN SỞ HỮU CÔNG NGHIỆP ĐỐI VỚI SÁNG CHẾ, KIỂU DÁNG CÔNG NGHIỆP, THIẾT KẾ BỐ TRÍ, NHÃN HIỆU, CHỈ DẪN ĐỊA LÝ</w:t>
            </w:r>
          </w:p>
        </w:tc>
      </w:tr>
      <w:tr w:rsidR="00BA40D0" w:rsidRPr="00BA40D0" w14:paraId="63A52513" w14:textId="77777777">
        <w:tc>
          <w:tcPr>
            <w:tcW w:w="14420" w:type="dxa"/>
            <w:gridSpan w:val="3"/>
          </w:tcPr>
          <w:p w14:paraId="2AADABD0"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i/>
                <w:color w:val="000000" w:themeColor="text1"/>
              </w:rPr>
              <w:t>Mục 1. ĐĂNG KÝ SÁNG CHẾ, KIỂU DÁNG CÔNG NGHIỆP, THIẾT KẾ BỐ TRÍ, NHÃN HIỆU, CHỈ DẪN ĐỊA LÝ</w:t>
            </w:r>
            <w:r w:rsidRPr="00BA40D0">
              <w:rPr>
                <w:rFonts w:ascii="Times New Roman" w:eastAsia="Times New Roman" w:hAnsi="Times New Roman" w:cs="Times New Roman"/>
                <w:b/>
                <w:color w:val="000000" w:themeColor="text1"/>
              </w:rPr>
              <w:tab/>
            </w:r>
          </w:p>
        </w:tc>
      </w:tr>
      <w:tr w:rsidR="00BA40D0" w:rsidRPr="00BA40D0" w14:paraId="0FD40A1D" w14:textId="77777777">
        <w:tc>
          <w:tcPr>
            <w:tcW w:w="4923" w:type="dxa"/>
          </w:tcPr>
          <w:p w14:paraId="518C33E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Điều 97. Sửa đổi văn bằng bảo hộ</w:t>
            </w:r>
          </w:p>
        </w:tc>
        <w:tc>
          <w:tcPr>
            <w:tcW w:w="4961" w:type="dxa"/>
          </w:tcPr>
          <w:p w14:paraId="0AB0E5C4"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97. Sửa đổi văn bằng bảo hộ</w:t>
            </w:r>
          </w:p>
        </w:tc>
        <w:tc>
          <w:tcPr>
            <w:tcW w:w="4536" w:type="dxa"/>
          </w:tcPr>
          <w:p w14:paraId="3F6B3B70"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1BE31F37" w14:textId="77777777">
        <w:tc>
          <w:tcPr>
            <w:tcW w:w="4923" w:type="dxa"/>
          </w:tcPr>
          <w:p w14:paraId="5494A68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Chủ văn bằng bảo hộ, tổ chức, cá nhân thực hiện quyền đăng ký chỉ dẫn địa lý theo quy định tại Điều 88 của Luật này, tổ chức quản lý chỉ dẫn địa lý có quyền yêu cầu sửa đổi những thông tin sau đây trên văn bằng bảo hộ với điều kiện phải nộp phí, lệ phí:</w:t>
            </w:r>
          </w:p>
          <w:p w14:paraId="65C507B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a) Thay đổi, sửa chữa thiếu sót liên quan đến thông tin về tác giả, chủ văn bằng bảo hộ, tổ chức quản lý chỉ dẫn địa lý;</w:t>
            </w:r>
          </w:p>
          <w:p w14:paraId="52C5072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Sửa đổi bản mô tả tính chất, chất lượng đặc thù, khu vực địa lý mang chỉ dẫn địa lý; sửa đổi quy chế sử dụng nhãn hiệu tập thể, quy chế sử dụng nhãn hiệu chứng nhận.</w:t>
            </w:r>
          </w:p>
        </w:tc>
        <w:tc>
          <w:tcPr>
            <w:tcW w:w="4961" w:type="dxa"/>
          </w:tcPr>
          <w:p w14:paraId="6BB0A561"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color w:val="000000" w:themeColor="text1"/>
              </w:rPr>
              <w:lastRenderedPageBreak/>
              <w:t>Giữ nguyên</w:t>
            </w:r>
          </w:p>
        </w:tc>
        <w:tc>
          <w:tcPr>
            <w:tcW w:w="4536" w:type="dxa"/>
          </w:tcPr>
          <w:p w14:paraId="72C5733F"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611A2487" w14:textId="77777777">
        <w:tc>
          <w:tcPr>
            <w:tcW w:w="4923" w:type="dxa"/>
          </w:tcPr>
          <w:p w14:paraId="73314709"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c>
          <w:tcPr>
            <w:tcW w:w="4961" w:type="dxa"/>
          </w:tcPr>
          <w:p w14:paraId="447F1E1A"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1a. Bên nhận chuyển nhượng quyền sở hữu công nghiệp hoặc bên chuyển nhượng (là chủ văn bằng bảo hộ) có quyền yêu cầu sửa đổi những thông tin sau đây trên văn bằng bảo hộ với điều kiện phải nộp phí, lệ phí:</w:t>
            </w:r>
          </w:p>
          <w:p w14:paraId="5BB2B2C5"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a) Thay đổi thông tin về chủ văn bằng bảo hộ do chuyển nhượng quyền sở hữu công nghiệp;</w:t>
            </w:r>
          </w:p>
          <w:p w14:paraId="71811BE9"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b) Thay đổi thông tin danh mục hàng hóa, dịch vụ ghi trong Giấy chứng nhận đăng ký nhãn hiệu của bên chuyển nhượng do chuyển nhượng một phần danh mục hàng hóa, dịch vụ.</w:t>
            </w:r>
          </w:p>
        </w:tc>
        <w:tc>
          <w:tcPr>
            <w:tcW w:w="4536" w:type="dxa"/>
          </w:tcPr>
          <w:p w14:paraId="0118AC84" w14:textId="77777777" w:rsidR="00503246" w:rsidRPr="00BA40D0" w:rsidRDefault="00267543">
            <w:pPr>
              <w:spacing w:before="60" w:after="60" w:line="240" w:lineRule="auto"/>
              <w:ind w:firstLine="179"/>
              <w:jc w:val="both"/>
              <w:rPr>
                <w:rFonts w:ascii="Times New Roman" w:eastAsia="Times New Roman" w:hAnsi="Times New Roman" w:cs="Times New Roman"/>
                <w:iCs/>
                <w:color w:val="000000" w:themeColor="text1"/>
              </w:rPr>
            </w:pPr>
            <w:r w:rsidRPr="00BA40D0">
              <w:rPr>
                <w:rFonts w:ascii="Times New Roman" w:eastAsia="Times New Roman" w:hAnsi="Times New Roman" w:cs="Times New Roman"/>
                <w:iCs/>
                <w:color w:val="000000" w:themeColor="text1"/>
              </w:rPr>
              <w:t>Theo quy định tại Điều 97 của Luật SHTT và Điều 110 của Thông tư số 10/2026/TT-BKHCN (trước khi được sửa đổi, bổ sung bởi Thông tư số 20/2026/TT-BKHCN), việc sửa đổi VBBH liên quan đến thông tin của chủ sở hữu (chủ VBBH) xảy ra trong 2 trường hơp:</w:t>
            </w:r>
          </w:p>
          <w:p w14:paraId="2A9EE29A" w14:textId="77777777" w:rsidR="00503246" w:rsidRPr="00BA40D0" w:rsidRDefault="00267543">
            <w:pPr>
              <w:spacing w:before="60" w:after="60" w:line="240" w:lineRule="auto"/>
              <w:ind w:firstLine="179"/>
              <w:jc w:val="both"/>
              <w:rPr>
                <w:rFonts w:ascii="Times New Roman" w:eastAsia="Times New Roman" w:hAnsi="Times New Roman" w:cs="Times New Roman"/>
                <w:iCs/>
                <w:color w:val="000000" w:themeColor="text1"/>
              </w:rPr>
            </w:pPr>
            <w:r w:rsidRPr="00BA40D0">
              <w:rPr>
                <w:rFonts w:ascii="Times New Roman" w:eastAsia="Times New Roman" w:hAnsi="Times New Roman" w:cs="Times New Roman"/>
                <w:iCs/>
                <w:color w:val="000000" w:themeColor="text1"/>
              </w:rPr>
              <w:t>- Chủ VBBH thay đổi tên, địa chỉ (vẫn giữ nguyên quyền sở hữu);</w:t>
            </w:r>
          </w:p>
          <w:p w14:paraId="2C67EC97" w14:textId="77777777" w:rsidR="00503246" w:rsidRPr="00BA40D0" w:rsidRDefault="00267543">
            <w:pPr>
              <w:spacing w:before="60" w:after="60" w:line="240" w:lineRule="auto"/>
              <w:ind w:firstLine="179"/>
              <w:jc w:val="both"/>
              <w:rPr>
                <w:rFonts w:ascii="Times New Roman" w:eastAsia="Times New Roman" w:hAnsi="Times New Roman" w:cs="Times New Roman"/>
                <w:iCs/>
                <w:color w:val="000000" w:themeColor="text1"/>
              </w:rPr>
            </w:pPr>
            <w:r w:rsidRPr="00BA40D0">
              <w:rPr>
                <w:rFonts w:ascii="Times New Roman" w:eastAsia="Times New Roman" w:hAnsi="Times New Roman" w:cs="Times New Roman"/>
                <w:iCs/>
                <w:color w:val="000000" w:themeColor="text1"/>
              </w:rPr>
              <w:t>- Thay đổi chủ VBBH mới do chuyển dịch quyền sở hữu (liên quan đến thừa kế, kế thừa, sát nhập, hợp nhất, chia, tách...), không bao gồm trường hợp thay đổi chủ sở hữu do chuyển nhượng quyền SHCN (do thực hiện ở thủ tục đăng ký hợp đồng chuyển nhượng).</w:t>
            </w:r>
          </w:p>
          <w:p w14:paraId="29EC1624"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iCs/>
                <w:color w:val="000000" w:themeColor="text1"/>
              </w:rPr>
              <w:t xml:space="preserve">Theo đó, </w:t>
            </w:r>
            <w:r w:rsidRPr="00BA40D0">
              <w:rPr>
                <w:rFonts w:ascii="Times New Roman" w:eastAsia="Times New Roman" w:hAnsi="Times New Roman" w:cs="Times New Roman"/>
                <w:color w:val="000000" w:themeColor="text1"/>
              </w:rPr>
              <w:t xml:space="preserve">điểm B.VI Phụ lục I.3 của Nghị quyết 66.18/2026/NQ-CP quy định về việc bãi bỏ thủ tục đăng ký HĐ chuyển nhượng quyền sở hữu. Và điểm B.III.2 Phụ lục I.3 của Nghị quyết 66.18/2026/NQ-CP quy định bổ sung việc sửa đổi văn bẳng bảo hộ do chuyển dịch quyền do chuyển nhượng quyền sở hữu.Vì vậy, bổ sung khoản 1a sau khoản 1 Điều 97, theo đó bổ sung trường hợp sửa đổi thông tin VBBH do chuyển nhượng quyền sở </w:t>
            </w:r>
            <w:r w:rsidRPr="00BA40D0">
              <w:rPr>
                <w:rFonts w:ascii="Times New Roman" w:eastAsia="Times New Roman" w:hAnsi="Times New Roman" w:cs="Times New Roman"/>
                <w:color w:val="000000" w:themeColor="text1"/>
              </w:rPr>
              <w:lastRenderedPageBreak/>
              <w:t>hữu công nghiệp và làm rõ chủ thể có quyền yêu cầu thay đổi thông tin bao gồm bên chuyển nhượng và bên nhận chuyển nhượng.</w:t>
            </w:r>
          </w:p>
        </w:tc>
      </w:tr>
      <w:tr w:rsidR="00BA40D0" w:rsidRPr="00BA40D0" w14:paraId="59C3F5E4" w14:textId="77777777">
        <w:tc>
          <w:tcPr>
            <w:tcW w:w="4923" w:type="dxa"/>
          </w:tcPr>
          <w:p w14:paraId="42F82F23"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 Theo yêu cầu của chủ văn bằng bảo hộ, tổ chức, cá nhân thực hiện quyền đăng ký chỉ dẫn địa lý, tổ chức quản lý chỉ dẫn địa lý, cơ quan quản lý nhà nước về quyền sở hữu công nghiệp có trách nhiệm sửa chữa thiếu sót trong văn bằng bảo hộ do lỗi của cơ quan đó. Trong trường hợp này, chủ văn bằng bảo hộ, tổ chức, cá nhân thực hiện quyền đăng ký chỉ dẫn địa lý, tổ chức quản lý chỉ dẫn địa lý không phải nộp phí, lệ phí.</w:t>
            </w:r>
          </w:p>
        </w:tc>
        <w:tc>
          <w:tcPr>
            <w:tcW w:w="4961" w:type="dxa"/>
          </w:tcPr>
          <w:p w14:paraId="46353D0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03727A2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9108D1B" w14:textId="77777777">
        <w:tc>
          <w:tcPr>
            <w:tcW w:w="4923" w:type="dxa"/>
          </w:tcPr>
          <w:p w14:paraId="4DBD049E"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Chủ văn bằng bảo hộ có quyền yêu cầu cơ quan quản lý nhà nước về quyền sở hữu công nghiệp thu hẹp phạm vi quyền sở hữu công nghiệp; trong trường hợp này, đơn đăng ký sở hữu công nghiệp tương ứng phải được thẩm định lại về nội dung và người yêu cầu phải nộp phí thẩm định nội dung.</w:t>
            </w:r>
          </w:p>
        </w:tc>
        <w:tc>
          <w:tcPr>
            <w:tcW w:w="4961" w:type="dxa"/>
          </w:tcPr>
          <w:p w14:paraId="6767049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762874AA" w14:textId="77777777" w:rsidR="00503246" w:rsidRPr="00BA40D0" w:rsidRDefault="00503246">
            <w:pPr>
              <w:widowControl w:val="0"/>
              <w:spacing w:before="60" w:after="60" w:line="240" w:lineRule="auto"/>
              <w:jc w:val="both"/>
              <w:rPr>
                <w:rFonts w:ascii="Times New Roman" w:eastAsia="Times New Roman" w:hAnsi="Times New Roman" w:cs="Times New Roman"/>
                <w:color w:val="000000" w:themeColor="text1"/>
              </w:rPr>
            </w:pPr>
          </w:p>
        </w:tc>
      </w:tr>
      <w:tr w:rsidR="00BA40D0" w:rsidRPr="00BA40D0" w14:paraId="336E94FE" w14:textId="77777777">
        <w:tc>
          <w:tcPr>
            <w:tcW w:w="4923" w:type="dxa"/>
          </w:tcPr>
          <w:p w14:paraId="5B01F549"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4. Bộ trưởng Bộ Khoa học và Công nghệ quy định chi tiết Điều này.</w:t>
            </w:r>
          </w:p>
        </w:tc>
        <w:tc>
          <w:tcPr>
            <w:tcW w:w="4961" w:type="dxa"/>
          </w:tcPr>
          <w:p w14:paraId="752BDF5D"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2F24D79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796E6237" w14:textId="77777777">
        <w:tc>
          <w:tcPr>
            <w:tcW w:w="14420" w:type="dxa"/>
            <w:gridSpan w:val="3"/>
          </w:tcPr>
          <w:p w14:paraId="34569A6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bookmarkStart w:id="0" w:name="_Toc336441804"/>
            <w:bookmarkStart w:id="1" w:name="_Toc336442274"/>
            <w:bookmarkStart w:id="2" w:name="_Toc336501421"/>
            <w:bookmarkStart w:id="3" w:name="_Toc336503399"/>
            <w:bookmarkStart w:id="4" w:name="_Toc336503744"/>
            <w:bookmarkStart w:id="5" w:name="_Toc106640964"/>
            <w:bookmarkStart w:id="6" w:name="_Toc115649741"/>
            <w:r w:rsidRPr="00BA40D0">
              <w:rPr>
                <w:rFonts w:ascii="Times New Roman" w:eastAsia="Times New Roman" w:hAnsi="Times New Roman" w:cs="Times New Roman"/>
                <w:b/>
                <w:color w:val="000000" w:themeColor="text1"/>
              </w:rPr>
              <w:t>Chương X</w:t>
            </w:r>
            <w:bookmarkEnd w:id="0"/>
            <w:bookmarkEnd w:id="1"/>
            <w:bookmarkEnd w:id="2"/>
            <w:bookmarkEnd w:id="3"/>
            <w:bookmarkEnd w:id="4"/>
            <w:bookmarkEnd w:id="5"/>
            <w:bookmarkEnd w:id="6"/>
            <w:r w:rsidRPr="00BA40D0">
              <w:rPr>
                <w:rFonts w:ascii="Times New Roman" w:eastAsia="Times New Roman" w:hAnsi="Times New Roman" w:cs="Times New Roman"/>
                <w:b/>
                <w:color w:val="000000" w:themeColor="text1"/>
              </w:rPr>
              <w:t>.</w:t>
            </w:r>
            <w:bookmarkStart w:id="7" w:name="_Toc336503400"/>
            <w:bookmarkStart w:id="8" w:name="_Toc336503745"/>
            <w:bookmarkStart w:id="9" w:name="_Toc106640965"/>
            <w:bookmarkStart w:id="10" w:name="_Toc115649742"/>
            <w:r w:rsidRPr="00BA40D0">
              <w:rPr>
                <w:rFonts w:ascii="Times New Roman" w:eastAsia="Times New Roman" w:hAnsi="Times New Roman" w:cs="Times New Roman"/>
                <w:b/>
                <w:color w:val="000000" w:themeColor="text1"/>
              </w:rPr>
              <w:t xml:space="preserve"> CHUYỂN GIAO QUYỀN SỞ HỮU CÔNG NGHIỆP</w:t>
            </w:r>
            <w:bookmarkEnd w:id="7"/>
            <w:bookmarkEnd w:id="8"/>
            <w:bookmarkEnd w:id="9"/>
            <w:bookmarkEnd w:id="10"/>
          </w:p>
        </w:tc>
      </w:tr>
      <w:tr w:rsidR="00BA40D0" w:rsidRPr="00BA40D0" w14:paraId="0E65E4FE" w14:textId="77777777">
        <w:tc>
          <w:tcPr>
            <w:tcW w:w="14420" w:type="dxa"/>
            <w:gridSpan w:val="3"/>
          </w:tcPr>
          <w:p w14:paraId="1ABAE16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bookmarkStart w:id="11" w:name="_Toc336441805"/>
            <w:bookmarkStart w:id="12" w:name="_Toc336442275"/>
            <w:bookmarkStart w:id="13" w:name="_Toc336501422"/>
            <w:bookmarkStart w:id="14" w:name="_Toc336503401"/>
            <w:bookmarkStart w:id="15" w:name="_Toc336503746"/>
            <w:bookmarkStart w:id="16" w:name="_Toc106640966"/>
            <w:bookmarkStart w:id="17" w:name="_Toc115649743"/>
            <w:r w:rsidRPr="00BA40D0">
              <w:rPr>
                <w:rFonts w:ascii="Times New Roman" w:eastAsia="Times New Roman" w:hAnsi="Times New Roman" w:cs="Times New Roman"/>
                <w:b/>
                <w:i/>
                <w:color w:val="000000" w:themeColor="text1"/>
              </w:rPr>
              <w:t>Mục 1</w:t>
            </w:r>
            <w:bookmarkEnd w:id="11"/>
            <w:bookmarkEnd w:id="12"/>
            <w:bookmarkEnd w:id="13"/>
            <w:bookmarkEnd w:id="14"/>
            <w:bookmarkEnd w:id="15"/>
            <w:bookmarkEnd w:id="16"/>
            <w:bookmarkEnd w:id="17"/>
            <w:r w:rsidRPr="00BA40D0">
              <w:rPr>
                <w:rFonts w:ascii="Times New Roman" w:eastAsia="Times New Roman" w:hAnsi="Times New Roman" w:cs="Times New Roman"/>
                <w:b/>
                <w:i/>
                <w:color w:val="000000" w:themeColor="text1"/>
              </w:rPr>
              <w:t>.</w:t>
            </w:r>
            <w:bookmarkStart w:id="18" w:name="_Toc336503402"/>
            <w:bookmarkStart w:id="19" w:name="_Toc336503747"/>
            <w:bookmarkStart w:id="20" w:name="_Toc106640967"/>
            <w:bookmarkStart w:id="21" w:name="_Toc115649744"/>
            <w:r w:rsidRPr="00BA40D0">
              <w:rPr>
                <w:rFonts w:ascii="Times New Roman" w:eastAsia="Times New Roman" w:hAnsi="Times New Roman" w:cs="Times New Roman"/>
                <w:b/>
                <w:i/>
                <w:color w:val="000000" w:themeColor="text1"/>
              </w:rPr>
              <w:t xml:space="preserve"> CHUYỂN NHƯỢNG QUYỀN SỞ HỮU CÔNG NGHIỆP</w:t>
            </w:r>
            <w:bookmarkEnd w:id="18"/>
            <w:bookmarkEnd w:id="19"/>
            <w:bookmarkEnd w:id="20"/>
            <w:bookmarkEnd w:id="21"/>
          </w:p>
        </w:tc>
      </w:tr>
      <w:tr w:rsidR="00BA40D0" w:rsidRPr="00BA40D0" w14:paraId="0871509F" w14:textId="77777777">
        <w:tc>
          <w:tcPr>
            <w:tcW w:w="4923" w:type="dxa"/>
          </w:tcPr>
          <w:p w14:paraId="760E9D11"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bookmarkStart w:id="22" w:name="_Toc336442276"/>
            <w:bookmarkStart w:id="23" w:name="_Toc336501423"/>
            <w:bookmarkStart w:id="24" w:name="_Toc336503403"/>
            <w:bookmarkStart w:id="25" w:name="_Toc336503748"/>
            <w:bookmarkStart w:id="26" w:name="_Toc106640968"/>
            <w:bookmarkStart w:id="27" w:name="_Toc115649745"/>
            <w:r w:rsidRPr="00BA40D0">
              <w:rPr>
                <w:rFonts w:ascii="Times New Roman" w:eastAsia="Times New Roman" w:hAnsi="Times New Roman" w:cs="Times New Roman"/>
                <w:b/>
                <w:color w:val="000000" w:themeColor="text1"/>
              </w:rPr>
              <w:t>Điều 138. Quy định chung về chuyển nhượng quyền sở hữu công nghiệp</w:t>
            </w:r>
            <w:bookmarkEnd w:id="22"/>
            <w:bookmarkEnd w:id="23"/>
            <w:bookmarkEnd w:id="24"/>
            <w:bookmarkEnd w:id="25"/>
            <w:bookmarkEnd w:id="26"/>
            <w:bookmarkEnd w:id="27"/>
          </w:p>
        </w:tc>
        <w:tc>
          <w:tcPr>
            <w:tcW w:w="4961" w:type="dxa"/>
          </w:tcPr>
          <w:p w14:paraId="29AC893E" w14:textId="77777777" w:rsidR="00503246" w:rsidRPr="00BA40D0" w:rsidRDefault="00503246">
            <w:pPr>
              <w:spacing w:before="60" w:after="60" w:line="240" w:lineRule="auto"/>
              <w:jc w:val="both"/>
              <w:rPr>
                <w:rFonts w:ascii="Times New Roman" w:eastAsia="Times New Roman" w:hAnsi="Times New Roman" w:cs="Times New Roman"/>
                <w:i/>
                <w:color w:val="000000" w:themeColor="text1"/>
              </w:rPr>
            </w:pPr>
          </w:p>
        </w:tc>
        <w:tc>
          <w:tcPr>
            <w:tcW w:w="4536" w:type="dxa"/>
          </w:tcPr>
          <w:p w14:paraId="5B19D0EF"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3BBD858" w14:textId="77777777">
        <w:tc>
          <w:tcPr>
            <w:tcW w:w="4923" w:type="dxa"/>
          </w:tcPr>
          <w:p w14:paraId="7E2E9789"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1. Chuyển nhượng quyền sở hữu công nghiệp là việc chủ sở hữu quyền sở hữu công nghiệp chuyển giao quyền sở hữu của mình cho tổ chức, </w:t>
            </w:r>
            <w:r w:rsidRPr="00BA40D0">
              <w:rPr>
                <w:rFonts w:ascii="Times New Roman" w:eastAsia="Times New Roman" w:hAnsi="Times New Roman" w:cs="Times New Roman"/>
                <w:color w:val="000000" w:themeColor="text1"/>
              </w:rPr>
              <w:lastRenderedPageBreak/>
              <w:t>cá nhân khác.</w:t>
            </w:r>
          </w:p>
        </w:tc>
        <w:tc>
          <w:tcPr>
            <w:tcW w:w="4961" w:type="dxa"/>
          </w:tcPr>
          <w:p w14:paraId="5C785050"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color w:val="000000" w:themeColor="text1"/>
              </w:rPr>
              <w:lastRenderedPageBreak/>
              <w:t>Giữ nguyên</w:t>
            </w:r>
          </w:p>
        </w:tc>
        <w:tc>
          <w:tcPr>
            <w:tcW w:w="4536" w:type="dxa"/>
          </w:tcPr>
          <w:p w14:paraId="0EADFC7C"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DC6A597" w14:textId="77777777">
        <w:tc>
          <w:tcPr>
            <w:tcW w:w="4923" w:type="dxa"/>
          </w:tcPr>
          <w:p w14:paraId="186783C2"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 Việc chuyển nhượng quyền sở hữu công nghiệp phải được thực hiện dưới hình thức hợp đồng bằng văn bản (sau đây gọi là hợp đồng chuyển nhượng quyền sở hữu công nghiệp).</w:t>
            </w:r>
          </w:p>
        </w:tc>
        <w:tc>
          <w:tcPr>
            <w:tcW w:w="4961" w:type="dxa"/>
          </w:tcPr>
          <w:p w14:paraId="56367082"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color w:val="000000" w:themeColor="text1"/>
              </w:rPr>
              <w:t xml:space="preserve">2. Việc chuyển nhượng quyền sở hữu công nghiệp phải được thực hiện dưới hình thức hợp đồng bằng văn bản (sau đây gọi là hợp đồng chuyển nhượng quyền sở hữu công nghiệp). </w:t>
            </w:r>
            <w:r w:rsidRPr="00BA40D0">
              <w:rPr>
                <w:rFonts w:ascii="Times New Roman" w:hAnsi="Times New Roman" w:cs="Times New Roman"/>
                <w:b/>
                <w:bCs/>
                <w:i/>
                <w:iCs/>
                <w:color w:val="000000" w:themeColor="text1"/>
                <w:spacing w:val="-4"/>
              </w:rPr>
              <w:t>Hợp đồng chuyển nhượng quyền sở hữu công nghiệp có hiệu lực theo thỏa thuận giữa các bên và theo quy định pháp luật dân sự.</w:t>
            </w:r>
          </w:p>
        </w:tc>
        <w:tc>
          <w:tcPr>
            <w:tcW w:w="4536" w:type="dxa"/>
            <w:vMerge w:val="restart"/>
          </w:tcPr>
          <w:p w14:paraId="01870C90" w14:textId="77777777" w:rsidR="00503246" w:rsidRPr="00BA40D0" w:rsidRDefault="00267543">
            <w:pPr>
              <w:spacing w:before="60" w:after="60" w:line="240" w:lineRule="auto"/>
              <w:ind w:firstLine="179"/>
              <w:jc w:val="both"/>
              <w:rPr>
                <w:rFonts w:ascii="Times New Roman" w:eastAsia="Times New Roman" w:hAnsi="Times New Roman" w:cs="Times New Roman"/>
                <w:iCs/>
                <w:color w:val="000000" w:themeColor="text1"/>
              </w:rPr>
            </w:pPr>
            <w:r w:rsidRPr="00BA40D0">
              <w:rPr>
                <w:rFonts w:ascii="Times New Roman" w:eastAsia="Times New Roman" w:hAnsi="Times New Roman" w:cs="Times New Roman"/>
                <w:iCs/>
                <w:color w:val="000000" w:themeColor="text1"/>
              </w:rPr>
              <w:t>Điểm B.III.2 Phụ lục I.3 của Nghị quyết 66.18/2026/NQ-CP quy định về việc sửa đổi văn bẳng bảo hộ do chuyển dịch quyền do chuyển nhượng quyền sở hữu.</w:t>
            </w:r>
          </w:p>
          <w:p w14:paraId="34F9A1EB" w14:textId="77777777" w:rsidR="00503246" w:rsidRPr="00BA40D0" w:rsidRDefault="00267543">
            <w:pPr>
              <w:widowControl w:val="0"/>
              <w:spacing w:before="60" w:after="60" w:line="240" w:lineRule="auto"/>
              <w:ind w:firstLine="179"/>
              <w:jc w:val="both"/>
              <w:rPr>
                <w:rFonts w:ascii="Times New Roman" w:eastAsia="Times New Roman" w:hAnsi="Times New Roman" w:cs="Times New Roman"/>
                <w:iCs/>
                <w:color w:val="000000" w:themeColor="text1"/>
              </w:rPr>
            </w:pPr>
            <w:r w:rsidRPr="00BA40D0">
              <w:rPr>
                <w:rFonts w:ascii="Times New Roman" w:eastAsia="Times New Roman" w:hAnsi="Times New Roman" w:cs="Times New Roman"/>
                <w:iCs/>
                <w:color w:val="000000" w:themeColor="text1"/>
              </w:rPr>
              <w:t xml:space="preserve">Trả về đúng bản chất của việc chuyển nhượng quyền sở hữu là một loại chuyển dịch quyền (bên cạnh các loại chuyển dịch quyền do thừa kế, kế thừa, sáp nhập, chia, tách v.v.), trong đó hợp đồng chuyển nhượng là một hình thức giao dịch dân sự của việc chuyển dịch quyền này. </w:t>
            </w:r>
          </w:p>
          <w:p w14:paraId="67C57149" w14:textId="77777777" w:rsidR="00503246" w:rsidRPr="00BA40D0" w:rsidRDefault="00267543">
            <w:pPr>
              <w:widowControl w:val="0"/>
              <w:spacing w:before="60" w:after="60" w:line="240" w:lineRule="auto"/>
              <w:ind w:firstLine="179"/>
              <w:jc w:val="both"/>
              <w:rPr>
                <w:rFonts w:ascii="Times New Roman" w:eastAsia="Times New Roman" w:hAnsi="Times New Roman" w:cs="Times New Roman"/>
                <w:iCs/>
                <w:color w:val="000000" w:themeColor="text1"/>
              </w:rPr>
            </w:pPr>
            <w:r w:rsidRPr="00BA40D0">
              <w:rPr>
                <w:rFonts w:ascii="Times New Roman" w:eastAsia="Times New Roman" w:hAnsi="Times New Roman" w:cs="Times New Roman"/>
                <w:iCs/>
                <w:color w:val="000000" w:themeColor="text1"/>
              </w:rPr>
              <w:t xml:space="preserve">Cơ quan QLNN về SHCN chỉ kiểm tra tính hợp lệ của việc chuyển dịch quyền (về hình thức hợp đồng, về các điều kiện hạn chế chuyển nhượng), nếu hợp lệ sẽ ghi nhận thay đổi chủ sở hữu trên văn bằng bảo hộ và là cơ sở để việc chuyển dịch quyền do chuyển nhượng phát sinh hiệu lực. </w:t>
            </w:r>
          </w:p>
          <w:p w14:paraId="1C97FCB6" w14:textId="77777777" w:rsidR="00503246" w:rsidRPr="00BA40D0" w:rsidRDefault="00267543">
            <w:pPr>
              <w:widowControl w:val="0"/>
              <w:spacing w:before="60" w:after="60" w:line="240" w:lineRule="auto"/>
              <w:ind w:firstLine="179"/>
              <w:jc w:val="both"/>
              <w:rPr>
                <w:rFonts w:ascii="Times New Roman" w:eastAsia="Times New Roman" w:hAnsi="Times New Roman" w:cs="Times New Roman"/>
                <w:i/>
                <w:iCs/>
                <w:color w:val="000000" w:themeColor="text1"/>
              </w:rPr>
            </w:pPr>
            <w:r w:rsidRPr="00BA40D0">
              <w:rPr>
                <w:rFonts w:ascii="Times New Roman" w:eastAsia="Times New Roman" w:hAnsi="Times New Roman" w:cs="Times New Roman"/>
                <w:iCs/>
                <w:color w:val="000000" w:themeColor="text1"/>
              </w:rPr>
              <w:t xml:space="preserve">Hiệu lực này là hệ quả hoàn tất của quá trình chuyển dịch quyền sở hữu hợp pháp thông qua hợp đồng chuyển nhượng, mà không phải là hiệu lực của hợp đồng chuyển nhượng, vốn chỉ là tài liệu minh chứng cho quá trình chuyển dịch, và tài liệu minh chứng này cần phải có hiệu lực trước giữa các bên để các bên tiếp tục thực hiện quyền và nghĩa vụ của mình (trả tiền, làm thủ tục sửa đổi) cho đến khi giao dịch chính thức được hoàn tất. Hiệu lực của hợp đồng sẽ theo thỏa thuận của các bên và theo quy định của pháp luật dân </w:t>
            </w:r>
            <w:r w:rsidRPr="00BA40D0">
              <w:rPr>
                <w:rFonts w:ascii="Times New Roman" w:eastAsia="Times New Roman" w:hAnsi="Times New Roman" w:cs="Times New Roman"/>
                <w:iCs/>
                <w:color w:val="000000" w:themeColor="text1"/>
              </w:rPr>
              <w:lastRenderedPageBreak/>
              <w:t>sự. Cụ thể, nội dung này được bổ sung vào khoản 2 Điều 138 Luật SHTT. Đồng thời Điều 148 Luật SHTT được sửa đổi để chỉ điều chỉnh nội dung về hợp đồng chuyển quyền sử dụng đối tượng SHCN, phù hợp với tiêu đề của Mục 4.</w:t>
            </w:r>
          </w:p>
        </w:tc>
      </w:tr>
      <w:tr w:rsidR="00BA40D0" w:rsidRPr="00BA40D0" w14:paraId="0C6EC25B" w14:textId="77777777">
        <w:tc>
          <w:tcPr>
            <w:tcW w:w="4923" w:type="dxa"/>
          </w:tcPr>
          <w:p w14:paraId="18CB52AC" w14:textId="77777777" w:rsidR="00503246" w:rsidRPr="00BA40D0" w:rsidRDefault="00503246">
            <w:pPr>
              <w:widowControl w:val="0"/>
              <w:spacing w:before="60" w:after="60" w:line="240" w:lineRule="auto"/>
              <w:jc w:val="both"/>
              <w:rPr>
                <w:rFonts w:ascii="Times New Roman" w:eastAsia="Times New Roman" w:hAnsi="Times New Roman" w:cs="Times New Roman"/>
                <w:color w:val="000000" w:themeColor="text1"/>
              </w:rPr>
            </w:pPr>
          </w:p>
        </w:tc>
        <w:tc>
          <w:tcPr>
            <w:tcW w:w="4961" w:type="dxa"/>
          </w:tcPr>
          <w:p w14:paraId="4B2F4888"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hAnsi="Times New Roman" w:cs="Times New Roman"/>
                <w:b/>
                <w:bCs/>
                <w:i/>
                <w:iCs/>
                <w:color w:val="000000" w:themeColor="text1"/>
                <w:spacing w:val="-4"/>
              </w:rPr>
              <w:t>3. Đối với các loại quyền sở hữu công nghiệp được xác lập trên cơ sở đăng ký theo quy định tại điểm a khoản 3 Điều 6 của Luật này, việc chuyển nhượng quyền sở hữu công nghiệp có hiệu lực kể từ thời điểm việc sửa đổi thông tin văn bằng bảo hộ được cơ quan quản lý nhà nước về quyền sở hữu công nghiệp ghi nhận theo thủ tục quy định tại Điều 97 của Luật này. Bên nhận chuyển nhượng quyền sở hữu công nghiệp có quyền của chủ sở hữu theo quy định của Luật này kể từ thời điểm việc chuyển nhượng có hiệu lực theo quy định tại khoản này.</w:t>
            </w:r>
          </w:p>
        </w:tc>
        <w:tc>
          <w:tcPr>
            <w:tcW w:w="4536" w:type="dxa"/>
            <w:vMerge/>
          </w:tcPr>
          <w:p w14:paraId="6FFE5E26" w14:textId="77777777" w:rsidR="00503246" w:rsidRPr="00BA40D0" w:rsidRDefault="00503246">
            <w:pPr>
              <w:widowControl w:val="0"/>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1C00F519" w14:textId="77777777">
        <w:tc>
          <w:tcPr>
            <w:tcW w:w="4923" w:type="dxa"/>
          </w:tcPr>
          <w:p w14:paraId="1022DBED"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i/>
                <w:color w:val="000000" w:themeColor="text1"/>
              </w:rPr>
              <w:lastRenderedPageBreak/>
              <w:t>Mục 4. ĐĂNG KÝ HỢP ĐỒNG CHUYỂN GIAO QUYỀN SỞ HỮU CÔNG NGHIỆP</w:t>
            </w:r>
          </w:p>
        </w:tc>
        <w:tc>
          <w:tcPr>
            <w:tcW w:w="4961" w:type="dxa"/>
          </w:tcPr>
          <w:p w14:paraId="245BD5C9"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i/>
                <w:color w:val="000000" w:themeColor="text1"/>
              </w:rPr>
              <w:t xml:space="preserve">Mục 4. ĐĂNG KÝ HỢP ĐỒNG </w:t>
            </w:r>
            <w:r w:rsidRPr="00BA40D0">
              <w:rPr>
                <w:rFonts w:ascii="Times New Roman" w:eastAsia="Times New Roman" w:hAnsi="Times New Roman" w:cs="Times New Roman"/>
                <w:b/>
                <w:strike/>
                <w:color w:val="000000" w:themeColor="text1"/>
              </w:rPr>
              <w:t>CHUYỂN GIAO QUYỀN</w:t>
            </w:r>
            <w:r w:rsidRPr="00BA40D0">
              <w:rPr>
                <w:rFonts w:ascii="Times New Roman" w:eastAsia="Times New Roman" w:hAnsi="Times New Roman" w:cs="Times New Roman"/>
                <w:b/>
                <w:color w:val="000000" w:themeColor="text1"/>
              </w:rPr>
              <w:t xml:space="preserve"> </w:t>
            </w:r>
            <w:r w:rsidRPr="00BA40D0">
              <w:rPr>
                <w:rFonts w:ascii="Times New Roman" w:eastAsia="Times New Roman" w:hAnsi="Times New Roman" w:cs="Times New Roman"/>
                <w:b/>
                <w:i/>
                <w:color w:val="000000" w:themeColor="text1"/>
              </w:rPr>
              <w:t>SỬ DỤNG ĐỐI TƯỢNG SỞ HỮU CÔNG NGHIỆP</w:t>
            </w:r>
          </w:p>
        </w:tc>
        <w:tc>
          <w:tcPr>
            <w:tcW w:w="4536" w:type="dxa"/>
          </w:tcPr>
          <w:p w14:paraId="72254CD1"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bổ sung tên mục 4 Chương X để phù hợp với nội dung sửa Điều 148 và 150.</w:t>
            </w:r>
          </w:p>
        </w:tc>
      </w:tr>
      <w:tr w:rsidR="00BA40D0" w:rsidRPr="00BA40D0" w14:paraId="5E39C7A2" w14:textId="77777777">
        <w:tc>
          <w:tcPr>
            <w:tcW w:w="4923" w:type="dxa"/>
          </w:tcPr>
          <w:p w14:paraId="6BC78DA1"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Điều 148. Hiệu lực của hợp đồng chuyển giao quyền sở hữu công nghiệp</w:t>
            </w:r>
          </w:p>
        </w:tc>
        <w:tc>
          <w:tcPr>
            <w:tcW w:w="4961" w:type="dxa"/>
          </w:tcPr>
          <w:p w14:paraId="6191599D" w14:textId="77777777" w:rsidR="00503246" w:rsidRPr="00BA40D0" w:rsidRDefault="00267543">
            <w:pPr>
              <w:spacing w:before="60" w:after="60" w:line="240" w:lineRule="auto"/>
              <w:jc w:val="both"/>
              <w:rPr>
                <w:rFonts w:ascii="Times New Roman" w:eastAsia="Times New Roman" w:hAnsi="Times New Roman" w:cs="Times New Roman"/>
                <w:b/>
                <w:i/>
                <w:color w:val="000000" w:themeColor="text1"/>
              </w:rPr>
            </w:pPr>
            <w:r w:rsidRPr="00BA40D0">
              <w:rPr>
                <w:rFonts w:ascii="Times New Roman" w:eastAsia="Times New Roman" w:hAnsi="Times New Roman" w:cs="Times New Roman"/>
                <w:b/>
                <w:color w:val="000000" w:themeColor="text1"/>
              </w:rPr>
              <w:t xml:space="preserve">Điều 148. Hiệu lực của hợp đồng </w:t>
            </w:r>
            <w:r w:rsidRPr="00BA40D0">
              <w:rPr>
                <w:rFonts w:ascii="Times New Roman" w:eastAsia="Times New Roman" w:hAnsi="Times New Roman" w:cs="Times New Roman"/>
                <w:b/>
                <w:strike/>
                <w:color w:val="000000" w:themeColor="text1"/>
              </w:rPr>
              <w:t>chuyển giao quyền</w:t>
            </w:r>
            <w:r w:rsidRPr="00BA40D0">
              <w:rPr>
                <w:rFonts w:ascii="Times New Roman" w:eastAsia="Times New Roman" w:hAnsi="Times New Roman" w:cs="Times New Roman"/>
                <w:b/>
                <w:color w:val="000000" w:themeColor="text1"/>
              </w:rPr>
              <w:t xml:space="preserve"> sử dụng đối tượng sở hữu công nghiệp</w:t>
            </w:r>
          </w:p>
        </w:tc>
        <w:tc>
          <w:tcPr>
            <w:tcW w:w="4536" w:type="dxa"/>
            <w:vMerge w:val="restart"/>
          </w:tcPr>
          <w:p w14:paraId="2027CD41" w14:textId="77777777" w:rsidR="00503246" w:rsidRPr="00BA40D0" w:rsidRDefault="00267543">
            <w:pPr>
              <w:widowControl w:val="0"/>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bổ sung tên điều để phù hợp với nội dung sửa đổi tại Điều này</w:t>
            </w:r>
          </w:p>
          <w:p w14:paraId="31F9FBB3" w14:textId="77777777" w:rsidR="00503246" w:rsidRPr="00BA40D0" w:rsidRDefault="00267543">
            <w:pPr>
              <w:widowControl w:val="0"/>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iCs/>
                <w:color w:val="000000" w:themeColor="text1"/>
              </w:rPr>
              <w:t xml:space="preserve">Theo đó, </w:t>
            </w:r>
            <w:r w:rsidRPr="00BA40D0">
              <w:rPr>
                <w:rFonts w:ascii="Times New Roman" w:eastAsia="Times New Roman" w:hAnsi="Times New Roman" w:cs="Times New Roman"/>
                <w:color w:val="000000" w:themeColor="text1"/>
              </w:rPr>
              <w:t>điểm B.VI Phụ lục I.3 của Nghị quyết 66.18/2026/NQ-CP quy định về việc bãi bỏ thủ tục đăng ký HĐ chuyển nhượng quyền sở hữu. Do đó, bãi bỏ quy định tại khoản 1 Điều 148. Đồng thời bổ sung hiệu lực của hợp đồng chuyển nhượng quyền SHCN tại khoản 2 Điều 138</w:t>
            </w:r>
          </w:p>
        </w:tc>
      </w:tr>
      <w:tr w:rsidR="00BA40D0" w:rsidRPr="00BA40D0" w14:paraId="1223FB50" w14:textId="77777777">
        <w:tc>
          <w:tcPr>
            <w:tcW w:w="4923" w:type="dxa"/>
          </w:tcPr>
          <w:p w14:paraId="69AC883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Đối với các loại quyền sở hữu công nghiệp được xác lập trên cơ sở đăng ký theo quy định tại điểm a khoản 3 Điều 6 của Luật này, hợp đồng chuyển nhượng quyền sở hữu công nghiệp chỉ có hiệu lực khi đã được đăng ký tại cơ quan quản lý nhà nước về quyền sở hữu công nghiệp.</w:t>
            </w:r>
          </w:p>
        </w:tc>
        <w:tc>
          <w:tcPr>
            <w:tcW w:w="4961" w:type="dxa"/>
          </w:tcPr>
          <w:p w14:paraId="1AF365B4"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1. Đối với các loại quyền sở hữu công nghiệp được xác lập trên cơ sở đăng ký theo quy định tại điểm a khoản 3 Điều 6 của Luật này, hợp đồng chuyển nhượng quyền sở hữu công nghiệp chỉ có hiệu lực khi đã được đăng ký tại cơ quan quản lý nhà nước về quyền sở hữu công nghiệp.</w:t>
            </w:r>
          </w:p>
        </w:tc>
        <w:tc>
          <w:tcPr>
            <w:tcW w:w="4536" w:type="dxa"/>
            <w:vMerge/>
          </w:tcPr>
          <w:p w14:paraId="06916031" w14:textId="77777777" w:rsidR="00503246" w:rsidRPr="00BA40D0" w:rsidRDefault="00503246">
            <w:pPr>
              <w:widowControl w:val="0"/>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2224FDA1" w14:textId="77777777">
        <w:tc>
          <w:tcPr>
            <w:tcW w:w="4923" w:type="dxa"/>
          </w:tcPr>
          <w:p w14:paraId="096CF8C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2. Đối với các loại quyền sở hữu công nghiệp được xác lập trên cơ sở đăng ký theo quy định tại điểm a khoản 3 Điều 6 của Luật này, hợp đồng sử dụng đối tượng sở hữu công nghiệp có hiệu lực theo thỏa thuận giữa các bên.</w:t>
            </w:r>
          </w:p>
        </w:tc>
        <w:tc>
          <w:tcPr>
            <w:tcW w:w="4961" w:type="dxa"/>
          </w:tcPr>
          <w:p w14:paraId="3491373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vMerge w:val="restart"/>
          </w:tcPr>
          <w:p w14:paraId="4200576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677CCB32" w14:textId="77777777">
        <w:tc>
          <w:tcPr>
            <w:tcW w:w="4923" w:type="dxa"/>
          </w:tcPr>
          <w:p w14:paraId="0022D7B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Hợp đồng sử dụng đối tượng sở hữu công nghiệp tại khoản 2 Điều này, trừ hợp đồng sử dụng nhãn hiệu, phải đăng ký tại cơ quan quản lý nhà nước có thẩm quyền mới có giá trị pháp lý đối với bên thứ ba.</w:t>
            </w:r>
          </w:p>
        </w:tc>
        <w:tc>
          <w:tcPr>
            <w:tcW w:w="4961" w:type="dxa"/>
          </w:tcPr>
          <w:p w14:paraId="53BA533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vMerge/>
          </w:tcPr>
          <w:p w14:paraId="2E17F0C7"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5179310" w14:textId="77777777">
        <w:tc>
          <w:tcPr>
            <w:tcW w:w="4923" w:type="dxa"/>
          </w:tcPr>
          <w:p w14:paraId="398C334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4. Hợp đồng sử dụng đối tượng sở hữu công nghiệp mặc nhiên bị chấm dứt hiệu lực nếu quyền sở hữu công nghiệp của bên giao bị chấm dứt.</w:t>
            </w:r>
          </w:p>
        </w:tc>
        <w:tc>
          <w:tcPr>
            <w:tcW w:w="4961" w:type="dxa"/>
          </w:tcPr>
          <w:p w14:paraId="5297024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vMerge/>
          </w:tcPr>
          <w:p w14:paraId="063F4A7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11D0781" w14:textId="77777777">
        <w:tc>
          <w:tcPr>
            <w:tcW w:w="4923" w:type="dxa"/>
          </w:tcPr>
          <w:p w14:paraId="3471A7A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lastRenderedPageBreak/>
              <w:t>Điều 150. Xử lý hồ sơ đăng ký hợp đồng chuyển giao quyền sở hữu công nghiệp</w:t>
            </w:r>
          </w:p>
        </w:tc>
        <w:tc>
          <w:tcPr>
            <w:tcW w:w="4961" w:type="dxa"/>
          </w:tcPr>
          <w:p w14:paraId="073884AA"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150. Xử lý hồ sơ đăng ký hợp đồng</w:t>
            </w:r>
            <w:r w:rsidRPr="00BA40D0">
              <w:rPr>
                <w:rFonts w:ascii="Times New Roman" w:eastAsia="Times New Roman" w:hAnsi="Times New Roman" w:cs="Times New Roman"/>
                <w:b/>
                <w:strike/>
                <w:color w:val="000000" w:themeColor="text1"/>
              </w:rPr>
              <w:t xml:space="preserve"> chuyển giao quyền</w:t>
            </w:r>
            <w:r w:rsidRPr="00BA40D0">
              <w:rPr>
                <w:rFonts w:ascii="Times New Roman" w:eastAsia="Times New Roman" w:hAnsi="Times New Roman" w:cs="Times New Roman"/>
                <w:b/>
                <w:color w:val="000000" w:themeColor="text1"/>
              </w:rPr>
              <w:t xml:space="preserve"> </w:t>
            </w:r>
            <w:r w:rsidRPr="00BA40D0">
              <w:rPr>
                <w:rFonts w:ascii="Times New Roman" w:eastAsia="Times New Roman" w:hAnsi="Times New Roman" w:cs="Times New Roman"/>
                <w:b/>
                <w:i/>
                <w:iCs/>
                <w:color w:val="000000" w:themeColor="text1"/>
              </w:rPr>
              <w:t xml:space="preserve">sử dụng đối tượng </w:t>
            </w:r>
            <w:r w:rsidRPr="00BA40D0">
              <w:rPr>
                <w:rFonts w:ascii="Times New Roman" w:eastAsia="Times New Roman" w:hAnsi="Times New Roman" w:cs="Times New Roman"/>
                <w:b/>
                <w:color w:val="000000" w:themeColor="text1"/>
              </w:rPr>
              <w:t>sở hữu công nghiệp</w:t>
            </w:r>
          </w:p>
        </w:tc>
        <w:tc>
          <w:tcPr>
            <w:tcW w:w="4536" w:type="dxa"/>
          </w:tcPr>
          <w:p w14:paraId="1E46119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 Sửa đổi, bổ sung tên điều để phù hợp với nội dung sửa đổi tại Điều này</w:t>
            </w:r>
          </w:p>
        </w:tc>
      </w:tr>
      <w:tr w:rsidR="00BA40D0" w:rsidRPr="00BA40D0" w14:paraId="1DB3F652" w14:textId="77777777">
        <w:tc>
          <w:tcPr>
            <w:tcW w:w="4923" w:type="dxa"/>
          </w:tcPr>
          <w:p w14:paraId="51B57DD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Chính phủ quy định về hồ sơ đăng ký hợp đồng sử dụng đối tượng sở hữu công nghiệp, trình tự, thủ tục tiếp nhận và xử lý hồ sơ đăng ký hợp đồng sử dụng đối tượng sở hữu công nghiệp.</w:t>
            </w:r>
          </w:p>
        </w:tc>
        <w:tc>
          <w:tcPr>
            <w:tcW w:w="4961" w:type="dxa"/>
          </w:tcPr>
          <w:p w14:paraId="3AA9476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0B24CC08"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70E0DCC" w14:textId="77777777">
        <w:tc>
          <w:tcPr>
            <w:tcW w:w="4923" w:type="dxa"/>
          </w:tcPr>
          <w:p w14:paraId="1BFD701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2. Bộ trưởng Bộ Khoa học và Công nghệ quy định về hồ sơ đăng ký hợp đồng chuyển nhượng quyền sở hữu công nghiệp, trình tự, thủ tục tiếp nhận và xử lý hồ sơ đăng ký hợp đồng chuyển nhượng quyền sở hữu công nghiệp.</w:t>
            </w:r>
          </w:p>
        </w:tc>
        <w:tc>
          <w:tcPr>
            <w:tcW w:w="4961" w:type="dxa"/>
          </w:tcPr>
          <w:p w14:paraId="64C22D6C" w14:textId="77777777" w:rsidR="00503246" w:rsidRPr="00BA40D0" w:rsidRDefault="00267543">
            <w:pPr>
              <w:spacing w:before="60" w:after="60" w:line="240" w:lineRule="auto"/>
              <w:jc w:val="both"/>
              <w:rPr>
                <w:rFonts w:ascii="Times New Roman" w:eastAsia="Times New Roman" w:hAnsi="Times New Roman" w:cs="Times New Roman"/>
                <w:b/>
                <w:strike/>
                <w:color w:val="000000" w:themeColor="text1"/>
              </w:rPr>
            </w:pPr>
            <w:r w:rsidRPr="00BA40D0">
              <w:rPr>
                <w:rFonts w:ascii="Times New Roman" w:eastAsia="Times New Roman" w:hAnsi="Times New Roman" w:cs="Times New Roman"/>
                <w:strike/>
                <w:color w:val="000000" w:themeColor="text1"/>
              </w:rPr>
              <w:t>2. Bộ trưởng Bộ Khoa học và Công nghệ quy định về hồ sơ đăng ký hợp đồng chuyển nhượng quyền sở hữu công nghiệp, trình tự, thủ tục tiếp nhận và xử lý hồ sơ đăng ký hợp đồng chuyển nhượng quyền sở hữu công nghiệp.</w:t>
            </w:r>
          </w:p>
        </w:tc>
        <w:tc>
          <w:tcPr>
            <w:tcW w:w="4536" w:type="dxa"/>
          </w:tcPr>
          <w:p w14:paraId="085566DF"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Điểm B.VI Phụ lục I.3 của Nghị quyết 66.18/2026/NQ-CP quy định về việc không thực hiện thủ tục đăng ký HĐ chuyển nhượng quyền sở hữu.</w:t>
            </w:r>
          </w:p>
          <w:p w14:paraId="4F583C4C"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Do dó, bãi bỏ khoản 2 Điều 150 về xử lý hồ sơ đăng ký hợp đồng chuyển nhượng quyền sở hữu công nghiệp.</w:t>
            </w:r>
          </w:p>
        </w:tc>
      </w:tr>
      <w:tr w:rsidR="00BA40D0" w:rsidRPr="00BA40D0" w14:paraId="0494DCD4" w14:textId="77777777">
        <w:tc>
          <w:tcPr>
            <w:tcW w:w="14420" w:type="dxa"/>
            <w:gridSpan w:val="3"/>
          </w:tcPr>
          <w:p w14:paraId="41340AF3"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Chương XIII. XÁC LẬP QUYỀN ĐỐI VỚI GIỐNG CÂY TRỒNG</w:t>
            </w:r>
            <w:r w:rsidRPr="00BA40D0">
              <w:rPr>
                <w:rFonts w:ascii="Times New Roman" w:eastAsia="Times New Roman" w:hAnsi="Times New Roman" w:cs="Times New Roman"/>
                <w:b/>
                <w:color w:val="000000" w:themeColor="text1"/>
              </w:rPr>
              <w:tab/>
            </w:r>
          </w:p>
        </w:tc>
      </w:tr>
      <w:tr w:rsidR="00BA40D0" w:rsidRPr="00BA40D0" w14:paraId="38E815FD" w14:textId="77777777">
        <w:tc>
          <w:tcPr>
            <w:tcW w:w="14420" w:type="dxa"/>
            <w:gridSpan w:val="3"/>
          </w:tcPr>
          <w:p w14:paraId="5DE86E9B"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i/>
                <w:color w:val="000000" w:themeColor="text1"/>
              </w:rPr>
              <w:t>Mục 1. XÁC LẬP QUYỀN ĐỐI VỚI GIỐNG CÂY TRỒNG</w:t>
            </w:r>
            <w:r w:rsidRPr="00BA40D0">
              <w:rPr>
                <w:rFonts w:ascii="Times New Roman" w:eastAsia="Times New Roman" w:hAnsi="Times New Roman" w:cs="Times New Roman"/>
                <w:b/>
                <w:color w:val="000000" w:themeColor="text1"/>
              </w:rPr>
              <w:tab/>
            </w:r>
          </w:p>
        </w:tc>
      </w:tr>
      <w:tr w:rsidR="00BA40D0" w:rsidRPr="00BA40D0" w14:paraId="70DECE05" w14:textId="77777777">
        <w:tc>
          <w:tcPr>
            <w:tcW w:w="4923" w:type="dxa"/>
          </w:tcPr>
          <w:p w14:paraId="3AA0510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Điều 165. Đại diện quyền đối với giống cây trồng</w:t>
            </w:r>
            <w:r w:rsidRPr="00BA40D0">
              <w:rPr>
                <w:rFonts w:ascii="Times New Roman" w:eastAsia="Times New Roman" w:hAnsi="Times New Roman" w:cs="Times New Roman"/>
                <w:b/>
                <w:color w:val="000000" w:themeColor="text1"/>
              </w:rPr>
              <w:tab/>
            </w:r>
          </w:p>
        </w:tc>
        <w:tc>
          <w:tcPr>
            <w:tcW w:w="4961" w:type="dxa"/>
          </w:tcPr>
          <w:p w14:paraId="3351ED70"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165. Đại diện quyền đối với giống cây trồng</w:t>
            </w:r>
            <w:r w:rsidRPr="00BA40D0">
              <w:rPr>
                <w:rFonts w:ascii="Times New Roman" w:eastAsia="Times New Roman" w:hAnsi="Times New Roman" w:cs="Times New Roman"/>
                <w:b/>
                <w:color w:val="000000" w:themeColor="text1"/>
              </w:rPr>
              <w:tab/>
            </w:r>
          </w:p>
        </w:tc>
        <w:tc>
          <w:tcPr>
            <w:tcW w:w="4536" w:type="dxa"/>
          </w:tcPr>
          <w:p w14:paraId="690E9E6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2B150A62" w14:textId="77777777">
        <w:tc>
          <w:tcPr>
            <w:tcW w:w="4923" w:type="dxa"/>
          </w:tcPr>
          <w:p w14:paraId="2E928D6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1. Tổ chức, cá nhân Việt Nam; tổ chức, cá nhân nước ngoài thường trú tại Việt Nam hoặc có cơ sở sản xuất, kinh doanh giống cây trồng tại Việt Nam tự mình hoặc thông qua cơ sở sản xuất, kinh doanh giống cây trồng của tổ chức đó hoặc thông qua tổ chức dịch vụ đại diện quyền đối với giống cây trồng nộp đơn đăng ký quyền đối với giống </w:t>
            </w:r>
            <w:r w:rsidRPr="00BA40D0">
              <w:rPr>
                <w:rFonts w:ascii="Times New Roman" w:eastAsia="Times New Roman" w:hAnsi="Times New Roman" w:cs="Times New Roman"/>
                <w:color w:val="000000" w:themeColor="text1"/>
              </w:rPr>
              <w:lastRenderedPageBreak/>
              <w:t>cây trồng; các tổ chức, cá nhân khác quy định tại Điều 157 của Luật này nộp đơn thông qua tổ chức dịch vụ đại diện quyền đối với giống cây trồng.</w:t>
            </w:r>
          </w:p>
        </w:tc>
        <w:tc>
          <w:tcPr>
            <w:tcW w:w="4961" w:type="dxa"/>
          </w:tcPr>
          <w:p w14:paraId="47477E5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Giữ nguyên</w:t>
            </w:r>
          </w:p>
        </w:tc>
        <w:tc>
          <w:tcPr>
            <w:tcW w:w="4536" w:type="dxa"/>
          </w:tcPr>
          <w:p w14:paraId="1CC77660"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6C019263" w14:textId="77777777">
        <w:tc>
          <w:tcPr>
            <w:tcW w:w="4923" w:type="dxa"/>
          </w:tcPr>
          <w:p w14:paraId="613C0C5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 Tổ chức đáp ứng các điều kiện sau đây được kinh doanh dịch vụ đại diện   quyền đối với giống cây trồng với danh nghĩa tổ chức dịch vụ đại diện quyền:</w:t>
            </w:r>
          </w:p>
          <w:p w14:paraId="57B2756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Là doanh nghiệp, hợp tác xã, tổ chức hành nghề luật sư, tổ chức dịch vụ khoa học và công nghệ Việt Nam được thành lập và hoạt động theo quy định của pháp luật, trừ tổ chức hành nghề luật sư nước ngoài hành nghề tại Việt Nam;</w:t>
            </w:r>
          </w:p>
          <w:p w14:paraId="744E6CF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Có ít nhất một cá nhân có Chứng chỉ hành nghề dịch vụ đại diện quyền đối với giống cây trồng</w:t>
            </w:r>
          </w:p>
        </w:tc>
        <w:tc>
          <w:tcPr>
            <w:tcW w:w="4961" w:type="dxa"/>
          </w:tcPr>
          <w:p w14:paraId="7FB758A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37D11AE5"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2B9C43FC" w14:textId="77777777">
        <w:tc>
          <w:tcPr>
            <w:tcW w:w="4923" w:type="dxa"/>
          </w:tcPr>
          <w:p w14:paraId="1359DFF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Dịch vụ đại diện quyền đối với giống cây trồng bao gồm: đại diện cho tổ chức, cá nhân trước cơ quan nhà nước có thẩm quyền về xác lập và bảo vệ quyền đối với giống cây trồng; tư vấn về thủ tục xác lập và bảo vệ quyền đối với giống cây trồng; các dịch vụ khác liên quan đến thủ tục xác lập và bảo vệ quyền đối với giống cây trồng.</w:t>
            </w:r>
          </w:p>
        </w:tc>
        <w:tc>
          <w:tcPr>
            <w:tcW w:w="4961" w:type="dxa"/>
          </w:tcPr>
          <w:p w14:paraId="79F103A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2E270FF7"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1B3883D7" w14:textId="77777777">
        <w:tc>
          <w:tcPr>
            <w:tcW w:w="4923" w:type="dxa"/>
          </w:tcPr>
          <w:p w14:paraId="24E8D87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4. Đại diện quyền đối với giống cây trồng có trách nhiệm sau đây:</w:t>
            </w:r>
          </w:p>
          <w:p w14:paraId="13C41BE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Thông báo các khoản, mức phí, lệ phí liên quan đến thủ tục xác lập và bảo vệ quyền đối với giống cây trồng cho khách hàng;</w:t>
            </w:r>
          </w:p>
          <w:p w14:paraId="656E3C6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Giữ bí mật thông tin, tài liệu được giao liên quan đến vụ việc mà mình đại diện;</w:t>
            </w:r>
          </w:p>
          <w:p w14:paraId="510F7DE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c) Thông tin trung thực và đầy đủ các thông báo, yêu cầu của cơ quan nhà nước có thẩm quyền xác lập và bảo vệ quyền đối với giống cây trồng; giao kịp thời Bằng bảo hộ giống cây trồng và các quyết định khác cho bên được đại diện;</w:t>
            </w:r>
          </w:p>
          <w:p w14:paraId="5A5DDBE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 Thực hiện kịp thời các yêu cầu của cơ quan nhà nước có thẩm quyền xác lập và bảo vệ quyền đối với giống cây trồng đối với bên được đại diện để bảo vệ quyền và lợi ích hợp pháp của bên được đại diện;</w:t>
            </w:r>
          </w:p>
          <w:p w14:paraId="5DC96C8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đ) Thông báo cho cơ quan nhà nước có thẩm quyền xác lập và bảo vệ quyền đối với giống cây trồng các thay đổi về tên, địa chỉ và thông tin khác của bên được đại diện; thông tin thay đổi về tên, địa chỉ, người đại diện của bên đại diện;</w:t>
            </w:r>
          </w:p>
          <w:p w14:paraId="13565C4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e) Tổ chức dịch vụ đại diện quyền đối với giống cây trồng phải chịu trách nhiệm dân sự đối với người thực hiện hoạt động đại diện quyền đối với giống cây trồng nhân danh tổ chức.</w:t>
            </w:r>
          </w:p>
        </w:tc>
        <w:tc>
          <w:tcPr>
            <w:tcW w:w="4961" w:type="dxa"/>
          </w:tcPr>
          <w:p w14:paraId="731FD23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Giữ nguyên</w:t>
            </w:r>
          </w:p>
        </w:tc>
        <w:tc>
          <w:tcPr>
            <w:tcW w:w="4536" w:type="dxa"/>
          </w:tcPr>
          <w:p w14:paraId="26D02C19"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1D7D0FF3" w14:textId="77777777">
        <w:tc>
          <w:tcPr>
            <w:tcW w:w="4923" w:type="dxa"/>
          </w:tcPr>
          <w:p w14:paraId="622690E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5. Cá nhân được phép hành nghề dịch vụ đại diện quyền đối với giống cây trồng nếu đáp ứng các điều kiện sau đây:</w:t>
            </w:r>
          </w:p>
          <w:p w14:paraId="7C91671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Có Chứng chỉ hành nghề dịch vụ đại diện quyền đối với giống cây trồng;</w:t>
            </w:r>
          </w:p>
          <w:p w14:paraId="712D15F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Hoạt động trong một tổ chức dịch vụ đại diện quyền đối với giống cây trồng.</w:t>
            </w:r>
          </w:p>
        </w:tc>
        <w:tc>
          <w:tcPr>
            <w:tcW w:w="4961" w:type="dxa"/>
          </w:tcPr>
          <w:p w14:paraId="69B1073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476F8CE5"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3E973535" w14:textId="77777777">
        <w:tc>
          <w:tcPr>
            <w:tcW w:w="4923" w:type="dxa"/>
          </w:tcPr>
          <w:p w14:paraId="61D9A03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6. Cá nhân được cấp Chứng chỉ hành nghề dịch vụ đại diện quyền đối với giống cây trồng nếu đáp ứng các điều kiện sau đây:</w:t>
            </w:r>
          </w:p>
          <w:p w14:paraId="74E3332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a) Là công dân Việt Nam, có năng lực hành vi dân sự đầy đủ;</w:t>
            </w:r>
          </w:p>
          <w:p w14:paraId="4B2DE6E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Thường trú tại Việt Nam;</w:t>
            </w:r>
          </w:p>
          <w:p w14:paraId="3AFF613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Có bằng cử nhân hoặc văn bằng trình độ tương đương;</w:t>
            </w:r>
          </w:p>
          <w:p w14:paraId="7241512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 Đã trực tiếp làm công tác pháp luật về quyền đối với giống cây trồng từ năm năm trở lên hoặc đã trực tiếp làm công tác thẩm định đơn đăng ký quyền đối với giống cây trồng tại cơ quan quốc gia hoặc quốc tế về quyền đối với giống cây trồng từ năm năm trở lên hoặc đã tốt nghiệp khóa đào tạo pháp luật về quyền đối với giống cây trồng được cơ quan có thẩm quyền công nhận;</w:t>
            </w:r>
          </w:p>
          <w:p w14:paraId="4ED2F44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đ) Không phải là công chức, viên chức, người lao động đang làm việc tại cơ quan nhà nước có thẩm quyền xác lập và bảo vệ quyền đối với giống cây trồng;</w:t>
            </w:r>
          </w:p>
          <w:p w14:paraId="0DF2EB3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e) Đã đạt yêu cầu tại kỳ kiểm tra về nghiệp vụ đại diện quyền đối với giống cây trồng do cơ quan có thẩm quyền tổ chức.</w:t>
            </w:r>
          </w:p>
        </w:tc>
        <w:tc>
          <w:tcPr>
            <w:tcW w:w="4961" w:type="dxa"/>
          </w:tcPr>
          <w:p w14:paraId="3B3579A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Giữ nguyên</w:t>
            </w:r>
          </w:p>
        </w:tc>
        <w:tc>
          <w:tcPr>
            <w:tcW w:w="4536" w:type="dxa"/>
          </w:tcPr>
          <w:p w14:paraId="0D883CF5"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34E4F8D8" w14:textId="77777777">
        <w:tc>
          <w:tcPr>
            <w:tcW w:w="4923" w:type="dxa"/>
          </w:tcPr>
          <w:p w14:paraId="49E1008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7. Chính phủ quy định chi tiết việc kiểm tra nghiệp vụ đại diện quyền đối với giống cây trồng; cấp, cấp lại, thu hồi Chứng chỉ hành nghề dịch vụ đại diện quyền đối với giống cây trồng; ghi nhận, ghi nhận lại, xóa tên tổ chức dịch vụ đại diện quyền đối với giống cây trồng. Bộ trưởng Bộ Nông nghiệp và Môi trường quy định chương trình đào tạo pháp luật về quyền đối với giống cây trồng.</w:t>
            </w:r>
          </w:p>
        </w:tc>
        <w:tc>
          <w:tcPr>
            <w:tcW w:w="4961" w:type="dxa"/>
          </w:tcPr>
          <w:p w14:paraId="57DF1A4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7. Chính phủ quy định chi tiết việc kiểm tra nghiệp vụ đại diện quyền đối với giống cây trồng; cấp, cấp lại, thu hồi Chứng chỉ hành nghề dịch vụ đại diện quyền đối với giống cây trồng; ghi nhận, ghi nhận lại, xóa tên tổ chức dịch vụ đại diện quyền đối với giống cây trồng. Bộ trưởng </w:t>
            </w:r>
            <w:r w:rsidRPr="00BA40D0">
              <w:rPr>
                <w:rFonts w:ascii="Times New Roman" w:eastAsia="Times New Roman" w:hAnsi="Times New Roman" w:cs="Times New Roman"/>
                <w:b/>
                <w:bCs/>
                <w:i/>
                <w:iCs/>
                <w:color w:val="000000" w:themeColor="text1"/>
              </w:rPr>
              <w:t>Bộ Khoa học và Công nghệ</w:t>
            </w:r>
            <w:r w:rsidRPr="00BA40D0">
              <w:rPr>
                <w:rFonts w:ascii="Times New Roman" w:eastAsia="Times New Roman" w:hAnsi="Times New Roman" w:cs="Times New Roman"/>
                <w:strike/>
                <w:color w:val="000000" w:themeColor="text1"/>
              </w:rPr>
              <w:t xml:space="preserve">Nông nghiệp và Môi trường </w:t>
            </w:r>
            <w:r w:rsidRPr="00BA40D0">
              <w:rPr>
                <w:rFonts w:ascii="Times New Roman" w:eastAsia="Times New Roman" w:hAnsi="Times New Roman" w:cs="Times New Roman"/>
                <w:color w:val="000000" w:themeColor="text1"/>
              </w:rPr>
              <w:t>quy định chương trình đào tạo pháp luật về quyền đối với giống cây trồng.</w:t>
            </w:r>
          </w:p>
        </w:tc>
        <w:tc>
          <w:tcPr>
            <w:tcW w:w="4536" w:type="dxa"/>
          </w:tcPr>
          <w:p w14:paraId="2501108F"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bổ sung để phù hợp với việc chuyển giao chức năng quản lý nhà nước về quyền đối với giống cây trồng từ Bộ Nông nghiệp và Môi trường sang Bộ Khoa học và Công nghệ.</w:t>
            </w:r>
          </w:p>
        </w:tc>
      </w:tr>
      <w:tr w:rsidR="00BA40D0" w:rsidRPr="00BA40D0" w14:paraId="18B38D38" w14:textId="77777777">
        <w:tc>
          <w:tcPr>
            <w:tcW w:w="4923" w:type="dxa"/>
          </w:tcPr>
          <w:p w14:paraId="4F2B4777" w14:textId="77777777" w:rsidR="00503246" w:rsidRPr="00BA40D0" w:rsidRDefault="00267543">
            <w:pPr>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b/>
                <w:bCs/>
                <w:color w:val="000000" w:themeColor="text1"/>
              </w:rPr>
              <w:lastRenderedPageBreak/>
              <w:t>Điều 170. Đình chỉ, phục hồi hiệu lực Bằng bảo hộ giống cây trồng</w:t>
            </w:r>
          </w:p>
        </w:tc>
        <w:tc>
          <w:tcPr>
            <w:tcW w:w="4961" w:type="dxa"/>
          </w:tcPr>
          <w:p w14:paraId="4A6187A2" w14:textId="77777777" w:rsidR="00503246" w:rsidRPr="00BA40D0" w:rsidRDefault="00267543">
            <w:pPr>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b/>
                <w:bCs/>
                <w:color w:val="000000" w:themeColor="text1"/>
              </w:rPr>
              <w:t>Điều 170. Đình chỉ, phục hồi hiệu lực Bằng bảo hộ giống cây trồng</w:t>
            </w:r>
          </w:p>
        </w:tc>
        <w:tc>
          <w:tcPr>
            <w:tcW w:w="4536" w:type="dxa"/>
          </w:tcPr>
          <w:p w14:paraId="1A9D1ECE"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63C1CA38" w14:textId="77777777">
        <w:tc>
          <w:tcPr>
            <w:tcW w:w="4923" w:type="dxa"/>
          </w:tcPr>
          <w:p w14:paraId="3B3D62A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Bằng bảo hộ giống cây trồng có thể bị đình chỉ hiệu lực trong các trường hợp sau đây:</w:t>
            </w:r>
          </w:p>
          <w:p w14:paraId="3CFE7B2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Giống cây trồng được bảo hộ không còn đáp ứng điều kiện về tính đồng nhất và tính ổn định như tại thời điểm cấp Bằng;</w:t>
            </w:r>
          </w:p>
          <w:p w14:paraId="09C87DB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Chủ bằng bảo hộ không nộp lệ phí duy trì hiệu lực theo quy định;</w:t>
            </w:r>
          </w:p>
          <w:p w14:paraId="6B8C6FF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Chủ bằng bảo hộ không cung cấp tài liệu, vật liệu nhân giống cần thiết để duy trì và lưu giữ giống cây trồng theo quy định;</w:t>
            </w:r>
          </w:p>
          <w:p w14:paraId="05B001F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 Chủ bằng bảo hộ không thay đổi tên giống cây trồng theo yêu cầu của cơ quan quản lý nhà nước về quyền đối với giống cây trồng.</w:t>
            </w:r>
          </w:p>
        </w:tc>
        <w:tc>
          <w:tcPr>
            <w:tcW w:w="4961" w:type="dxa"/>
          </w:tcPr>
          <w:p w14:paraId="4C48333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08E21163"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765FD15D" w14:textId="77777777">
        <w:tc>
          <w:tcPr>
            <w:tcW w:w="4923" w:type="dxa"/>
          </w:tcPr>
          <w:p w14:paraId="1C77BC9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2. Trong các trường hợp quy định tại các điểm a, c và d khoản 1 Điều này, cơ quan quản lý nhà nước về quyền đối với giống cây trồng ra quyết định đình chỉ hiệu lực Bằng bảo hộ giống cây trồng.</w:t>
            </w:r>
          </w:p>
        </w:tc>
        <w:tc>
          <w:tcPr>
            <w:tcW w:w="4961" w:type="dxa"/>
          </w:tcPr>
          <w:p w14:paraId="388A6BB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3153C957"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10832AB3" w14:textId="77777777">
        <w:tc>
          <w:tcPr>
            <w:tcW w:w="4923" w:type="dxa"/>
          </w:tcPr>
          <w:p w14:paraId="54EFD6E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3. Trong trường hợp quy định tại điểm b khoản 1 Điều này, Bằng bảo hộ giống cây trồng tự động bị đình chỉ hiệu lực kể từ ngày bắt đầu năm hiệu lực đầu tiên mà lệ phí để duy trì hiệu lực không được nộp. Trong thời hạn sáu mươi ngày kể từ ngày Bằng bảo hộ giống cây trồng bị đình chỉ hiệu lực, cơ quan quản lý nhà nước về quyền đối với giống cây trồng thông báo về việc đình chỉ </w:t>
            </w:r>
            <w:r w:rsidRPr="00BA40D0">
              <w:rPr>
                <w:rFonts w:ascii="Times New Roman" w:eastAsia="Times New Roman" w:hAnsi="Times New Roman" w:cs="Times New Roman"/>
                <w:color w:val="000000" w:themeColor="text1"/>
              </w:rPr>
              <w:lastRenderedPageBreak/>
              <w:t>hiệu lực Bằng bảo hộ giống cây trồng theo quy định tại khoản 5 Điều này.</w:t>
            </w:r>
          </w:p>
        </w:tc>
        <w:tc>
          <w:tcPr>
            <w:tcW w:w="4961" w:type="dxa"/>
          </w:tcPr>
          <w:p w14:paraId="1014D236"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 xml:space="preserve">3. Trong trường hợp quy định tại điểm b khoản 1 Điều này, Bằng bảo hộ giống cây trồng tự động bị đình chỉ hiệu lực kể từ ngày bắt đầu năm hiệu lực đầu tiên mà lệ phí để duy trì hiệu lực không được nộp. </w:t>
            </w:r>
            <w:r w:rsidRPr="00BA40D0">
              <w:rPr>
                <w:rFonts w:ascii="Times New Roman" w:eastAsia="Times New Roman" w:hAnsi="Times New Roman" w:cs="Times New Roman"/>
                <w:strike/>
                <w:color w:val="000000" w:themeColor="text1"/>
              </w:rPr>
              <w:t xml:space="preserve">Trong thời hạn sáu mươi ngày kể từ ngày Bằng bảo hộ giống cây trồng bị đình chỉ hiệu lực, cơ quan quản lý nhà nước về quyền đối với giống cây trồng thông báo về việc đình chỉ hiệu lực Bằng bảo hộ giống cây trồng theo quy định tại </w:t>
            </w:r>
            <w:r w:rsidRPr="00BA40D0">
              <w:rPr>
                <w:rFonts w:ascii="Times New Roman" w:eastAsia="Times New Roman" w:hAnsi="Times New Roman" w:cs="Times New Roman"/>
                <w:strike/>
                <w:color w:val="000000" w:themeColor="text1"/>
              </w:rPr>
              <w:lastRenderedPageBreak/>
              <w:t>khoản 5 Điều này.</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b/>
                <w:bCs/>
                <w:i/>
                <w:iCs/>
                <w:color w:val="000000" w:themeColor="text1"/>
              </w:rPr>
              <w:t>Cơ quan quản lý nhà nước về quyền đối với giống cây trồng công bố việc đình chỉ hiệu lực Bằng bảo hộ giống cây trồng trên Công báo về giống cây trồng trên Công báo về giống cây trồng trong thời hạn ba mươi ngày từ thời điểm hiệu lực của Bằng bảo hộ giống cây trồng bị tự động đình chỉ.</w:t>
            </w:r>
          </w:p>
        </w:tc>
        <w:tc>
          <w:tcPr>
            <w:tcW w:w="4536" w:type="dxa"/>
          </w:tcPr>
          <w:p w14:paraId="09D1171F" w14:textId="1E90EEA1"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p w14:paraId="3570A7E6"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Theo quy định hiện hành thì trường hợp Bằng bảo hộ tự động bị đình chỉ hiệu lực (do không nộp phí duy trì) sẽ được thông báo theo khoản 5, theo đó cơ quan quản lý nhà nước: (i) thông báo trên Tạp chí chuyên ngành và (ii) gửi thông báo cho chủ bằng bảo hộ. Quy định này bộc lộ một số bất cập sau:</w:t>
            </w:r>
          </w:p>
          <w:p w14:paraId="3DE5FFC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 Cơ quan quản lý nhà nước phải thực hiện 02 lần thông báo;</w:t>
            </w:r>
          </w:p>
          <w:p w14:paraId="3B91DA8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Việc đặt nghĩa vụ của cơ quan có thẩm quyền trong việc gửi thông báo cho chủ bằng bảo hộ dẫn đến trên thực tế phát sinh trường hợp mặc dù cơ quan nhà nước đã gửi thông báo nhưng chủ bằng bảo hộ cho rằng họ không thể thực hiện việc phục hồi hiệu lực do cơ quan có thẩm quyền chưa gửi thông báo.</w:t>
            </w:r>
          </w:p>
          <w:p w14:paraId="6579E64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Vì vậy, sửa đổi khoản 3 theo hướng, trong trường hợp Bằng bảo hộ bị tự động đình chỉ hiệu lực, thông tin này sẽ được công bố công khai trên công báo về giống cây trồng (thay cho hình thức đăng trên tạp chí chuyên ngành). Đồng thời dự kiến sẽ quy định chi tiết ở Nghị định về điều kiện phục hồi đối với trường hợp này theo hướng quy định thời hạn 06 tháng để người nộp đơn nộp bổ sung phí duy trì hiệu lực kể từ ngày Bằng bảo hộ bị tự động đình chỉ hiệu lực.</w:t>
            </w:r>
          </w:p>
        </w:tc>
      </w:tr>
      <w:tr w:rsidR="00BA40D0" w:rsidRPr="00BA40D0" w14:paraId="2B1ADC97" w14:textId="77777777">
        <w:tc>
          <w:tcPr>
            <w:tcW w:w="4923" w:type="dxa"/>
          </w:tcPr>
          <w:p w14:paraId="1309DBC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4. Trong trường hợp quy định tại điểm a khoản 1 Điều này, mọi tổ chức, cá nhân có quyền yêu cầu cơ quan quản lý nhà nước về quyền đối với giống cây trồng đình chỉ hiệu lực Bằng bảo hộ giống cây trồng.</w:t>
            </w:r>
          </w:p>
          <w:p w14:paraId="7C408D4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Căn cứ vào kết quả xem xét đơn yêu cầu đình chỉ hiệu lực Bằng bảo hộ giống cây trồng và ý kiến của các bên liên quan, cơ quan quản lý nhà nước về quyền đối với giống cây trồng ra thông báo từ chối đình chỉ hiệu lực Bằng bảo hộ hoặc ra quyết định đình chỉ hiệu lực Bằng bảo hộ.</w:t>
            </w:r>
          </w:p>
        </w:tc>
        <w:tc>
          <w:tcPr>
            <w:tcW w:w="4961" w:type="dxa"/>
          </w:tcPr>
          <w:p w14:paraId="5379850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77F2726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281FDF01" w14:textId="77777777">
        <w:tc>
          <w:tcPr>
            <w:tcW w:w="4923" w:type="dxa"/>
          </w:tcPr>
          <w:p w14:paraId="408D4F5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5. Trong các trường hợp quy định tại khoản 1 Điều này, cơ quan quản lý nhà nước về quyền đối với giống cây trồng đăng thông báo trên tạp chí chuyên ngành và nêu rõ lý do đình chỉ, đồng thời gửi thông báo cho chủ bằng bảo hộ. Trong thời hạn ba mươi ngày, kể từ ngày thông báo, chủ bằng bảo hộ có quyền gửi đơn đề nghị được khắc phục các lý do bị đình chỉ cho cơ quan quản lý nhà nước về quyền đối với giống cây trồng và nộp lệ phí để phục hồi hiệu lực Bằng bảo hộ giống cây trồng. Trong thời hạn chín mươi ngày kể từ ngày nộp đơn, chủ bằng bảo hộ phải khắc phục những lý do bị đình chỉ đối với các trường hợp quy định tại các điểm b, c và d khoản 1 Điều này. Cơ quan quản lý nhà nước về quyền đối với giống cây trồng xem xét phục hồi hiệu lực Bằng bảo hộ và thông báo trên tạp chí chuyên ngành.</w:t>
            </w:r>
          </w:p>
          <w:p w14:paraId="0828B4B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Trong trường hợp quy định tại điểm a khoản 1 Điều này, hiệu lực Bằng bảo hộ giống cây trồng sẽ được phục hồi sau khi chủ sở hữu chứng minh được giống đã đáp ứng các điều kiện về tính đồng nhất và tính ổn định và được cơ quan quản lý nhà nước về quyền đối với giống cây trồng xác nhận.</w:t>
            </w:r>
          </w:p>
        </w:tc>
        <w:tc>
          <w:tcPr>
            <w:tcW w:w="4961" w:type="dxa"/>
          </w:tcPr>
          <w:p w14:paraId="1CA88ABF"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5. Trong các trường hợp quy định tại khoản 1 Điều này, cơ quan quản lý nhà nước về quyền đối với giống cây trồng đăng thông báo trên tạp chí chuyên ngành  Công báo về giống cây trồng và nêu rõ lý do đình chỉ, đồng thời gửi thông báo cho chủ bằng bảo hộ. Trong thời hạn ba mươi ngày, kể từ ngày thông báo, chủ bằng bảo hộ có quyền gửi đơn đề nghị được khắc phục các lý do bị đình chỉ cho cơ quan quản lý nhà nước về quyền đối với giống cây trồng và nộp lệ phí để phục hồi hiệu lực Bằng bảo hộ giống cây trồng. Trong thời hạn chín mươi ngày kể từ ngày nộp đơn, chủ bằng bảo hộ phải khắc phục những lý do bị đình chỉ đối với các trường hợp quy định tại các điểm b, c và d khoản 1 Điều này. Cơ quan quản lý nhà nước về quyền đối với giống cây trồng xem xét phục hồi hiệu lực Bằng bảo hộ và thông báo trên tạp chí chuyên ngành Công báo về giống cây trồng.</w:t>
            </w:r>
          </w:p>
          <w:p w14:paraId="08DF8DD1"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Trong trường hợp quy định tại điểm a khoản 1 Điều này, hiệu lực Bằng bảo hộ giống cây trồng sẽ được phục hồi sau khi chủ sở hữu chứng minh được giống đã đáp ứng các điều kiện về tính đồng nhất và tính ổn định và được cơ quan quản lý nhà nước về quyền đối với giống cây trồng xác nhận</w:t>
            </w:r>
          </w:p>
          <w:p w14:paraId="035048E5"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5. Việc phục hồi hiệu lực đối với Bằng bảo hộ giống cây trồng đã bị đình chỉ hiệu lực theo quy định tại khoản 2 và khoản 3 Điều này được thực hiện theo quy định của Chính phủ.</w:t>
            </w:r>
          </w:p>
        </w:tc>
        <w:tc>
          <w:tcPr>
            <w:tcW w:w="4536" w:type="dxa"/>
          </w:tcPr>
          <w:p w14:paraId="3A0934FC" w14:textId="01EF28B0"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Nội dung sửa đổi, bổ sung tại Điều 173 của dự thảo Luật đã quy định các quyết định liên quan đến Bằng bảo hộ giống cây trồng, bao gồm quyết định đình chỉ hiệu lực, phục hồi sẽ được công bố trên Công báo về giống cây trồng, do đó để đảm bảo thống nhất và tránh trùng lặp quy định tại Điều 173, sửa đổi khoản 5 theo hướng bỏ quy định về thông báo trên tạp chí chuyên ngành đồng thời chuyển quy định chi tiết về thủ tục liên quan đến phục hồi hiệu lực xuống Nghị định để đảm bảo tính ổn định của pháp luật. Theo đó, việc quy định quá chi tiết về thời hạn và thủ tục tại Luật như khoản 5 hiện nay sẽ gây khó khăn trong bối cảnh yêu cầu cắt giảm thủ tục hành chính hiện nay. Theo đó, dự kiến quy định tại Nghị định về cơ bản cũng sẽ kế thừa quy định tại Luật với những chỉnh lý để phù hợp với thực tiễn và đảm bảo quyền lợi của chủ văn bằng bảo hộ. </w:t>
            </w:r>
          </w:p>
          <w:p w14:paraId="0E427F72" w14:textId="48156AE8"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Vệc sửa đổi, bổ sung khoản 5 theo hướng giao Chính phủ quy định nhằm đáp ứng yêu cầu cải cách thủ tục hành chính, theo đó Luật chỉ quy định về mặt nguyên tắc, các văn bản hướng dẫn sẽ quy định chi tiết hơn về trình tự, thủ tục.</w:t>
            </w:r>
          </w:p>
        </w:tc>
      </w:tr>
      <w:tr w:rsidR="00BA40D0" w:rsidRPr="00BA40D0" w14:paraId="14BBEC60" w14:textId="77777777">
        <w:tc>
          <w:tcPr>
            <w:tcW w:w="4923" w:type="dxa"/>
          </w:tcPr>
          <w:p w14:paraId="69BAF1B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6. Chính phủ quy định chi tiết về trình tự, thủ tục đình chỉ, phục hồi, hủy bỏ hiệu lực Bằng bảo hộ giống cây trồng.</w:t>
            </w:r>
          </w:p>
        </w:tc>
        <w:tc>
          <w:tcPr>
            <w:tcW w:w="4961" w:type="dxa"/>
          </w:tcPr>
          <w:p w14:paraId="43D8F1B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74BD142D"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5C4C69CA" w14:textId="77777777">
        <w:tc>
          <w:tcPr>
            <w:tcW w:w="4923" w:type="dxa"/>
          </w:tcPr>
          <w:p w14:paraId="0867D341" w14:textId="77777777" w:rsidR="00503246" w:rsidRPr="00BA40D0" w:rsidRDefault="00267543">
            <w:pPr>
              <w:tabs>
                <w:tab w:val="left" w:pos="1008"/>
              </w:tabs>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b/>
                <w:bCs/>
                <w:color w:val="000000" w:themeColor="text1"/>
              </w:rPr>
              <w:lastRenderedPageBreak/>
              <w:t>Điều 173. Công bố quyết định liên quan đến Bằng bảo hộ giống cây trồng</w:t>
            </w:r>
            <w:r w:rsidRPr="00BA40D0">
              <w:rPr>
                <w:rFonts w:ascii="Times New Roman" w:eastAsia="Times New Roman" w:hAnsi="Times New Roman" w:cs="Times New Roman"/>
                <w:b/>
                <w:bCs/>
                <w:color w:val="000000" w:themeColor="text1"/>
              </w:rPr>
              <w:tab/>
            </w:r>
          </w:p>
        </w:tc>
        <w:tc>
          <w:tcPr>
            <w:tcW w:w="4961" w:type="dxa"/>
          </w:tcPr>
          <w:p w14:paraId="122016D2" w14:textId="77777777" w:rsidR="00503246" w:rsidRPr="00BA40D0" w:rsidRDefault="00267543">
            <w:pPr>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b/>
                <w:bCs/>
                <w:color w:val="000000" w:themeColor="text1"/>
              </w:rPr>
              <w:t>Điều 173. Công bố quyết định liên quan đến Bằng bảo hộ giống cây trồng</w:t>
            </w:r>
            <w:r w:rsidRPr="00BA40D0">
              <w:rPr>
                <w:rFonts w:ascii="Times New Roman" w:eastAsia="Times New Roman" w:hAnsi="Times New Roman" w:cs="Times New Roman"/>
                <w:b/>
                <w:bCs/>
                <w:color w:val="000000" w:themeColor="text1"/>
              </w:rPr>
              <w:tab/>
            </w:r>
          </w:p>
        </w:tc>
        <w:tc>
          <w:tcPr>
            <w:tcW w:w="4536" w:type="dxa"/>
          </w:tcPr>
          <w:p w14:paraId="74181E39"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7AFDDA8F" w14:textId="77777777">
        <w:tc>
          <w:tcPr>
            <w:tcW w:w="4923" w:type="dxa"/>
          </w:tcPr>
          <w:p w14:paraId="7A83589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Quyết định về việc cấp, cấp lại, đình chỉ, hủy bỏ, sửa đổi Bằng bảo hộ giống cây trồng được cơ quan quản lý nhà nước về quyền đối với giống cây trồng công bố trên tạp chí chuyên ngành về giống cây trồng trong thời hạn sáu mươi ngày, kể từ ngày ra quyết định.</w:t>
            </w:r>
          </w:p>
        </w:tc>
        <w:tc>
          <w:tcPr>
            <w:tcW w:w="4961" w:type="dxa"/>
          </w:tcPr>
          <w:p w14:paraId="1BEAED3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Quyết định về việc cấp, cấp lại, đình chỉ, </w:t>
            </w:r>
            <w:r w:rsidRPr="00BA40D0">
              <w:rPr>
                <w:rFonts w:ascii="Times New Roman" w:eastAsia="Times New Roman" w:hAnsi="Times New Roman" w:cs="Times New Roman"/>
                <w:b/>
                <w:bCs/>
                <w:i/>
                <w:iCs/>
                <w:color w:val="000000" w:themeColor="text1"/>
              </w:rPr>
              <w:t>phục hồi,</w:t>
            </w:r>
            <w:r w:rsidRPr="00BA40D0">
              <w:rPr>
                <w:rFonts w:ascii="Times New Roman" w:eastAsia="Times New Roman" w:hAnsi="Times New Roman" w:cs="Times New Roman"/>
                <w:color w:val="000000" w:themeColor="text1"/>
              </w:rPr>
              <w:t xml:space="preserve"> hủy bỏ, sửa đổi Bằng bảo hộ giống cây trồng được cơ quan quản lý nhà nước về quyền đối với giống cây trồng công bố trên </w:t>
            </w:r>
            <w:r w:rsidRPr="00BA40D0">
              <w:rPr>
                <w:rFonts w:ascii="Times New Roman" w:eastAsia="Times New Roman" w:hAnsi="Times New Roman" w:cs="Times New Roman"/>
                <w:strike/>
                <w:color w:val="000000" w:themeColor="text1"/>
              </w:rPr>
              <w:t>tạp chí chuyên ngành về giống cây trồng</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b/>
                <w:bCs/>
                <w:i/>
                <w:iCs/>
                <w:color w:val="000000" w:themeColor="text1"/>
              </w:rPr>
              <w:t xml:space="preserve">Công báo về giống cây trồng </w:t>
            </w:r>
            <w:r w:rsidRPr="00BA40D0">
              <w:rPr>
                <w:rFonts w:ascii="Times New Roman" w:eastAsia="Times New Roman" w:hAnsi="Times New Roman" w:cs="Times New Roman"/>
                <w:color w:val="000000" w:themeColor="text1"/>
              </w:rPr>
              <w:t xml:space="preserve">trong thời hạn </w:t>
            </w:r>
            <w:r w:rsidRPr="00BA40D0">
              <w:rPr>
                <w:rFonts w:ascii="Times New Roman" w:eastAsia="Times New Roman" w:hAnsi="Times New Roman" w:cs="Times New Roman"/>
                <w:b/>
                <w:bCs/>
                <w:i/>
                <w:iCs/>
                <w:color w:val="000000" w:themeColor="text1"/>
              </w:rPr>
              <w:t>ba</w:t>
            </w:r>
            <w:r w:rsidRPr="00BA40D0">
              <w:rPr>
                <w:rFonts w:ascii="Times New Roman" w:eastAsia="Times New Roman" w:hAnsi="Times New Roman" w:cs="Times New Roman"/>
                <w:strike/>
                <w:color w:val="000000" w:themeColor="text1"/>
              </w:rPr>
              <w:t>sáu</w:t>
            </w:r>
            <w:r w:rsidRPr="00BA40D0">
              <w:rPr>
                <w:rFonts w:ascii="Times New Roman" w:eastAsia="Times New Roman" w:hAnsi="Times New Roman" w:cs="Times New Roman"/>
                <w:color w:val="000000" w:themeColor="text1"/>
              </w:rPr>
              <w:t xml:space="preserve"> mươi ngày, kể từ ngày ra quyết định.</w:t>
            </w:r>
          </w:p>
        </w:tc>
        <w:tc>
          <w:tcPr>
            <w:tcW w:w="4536" w:type="dxa"/>
          </w:tcPr>
          <w:p w14:paraId="1E9AB50A" w14:textId="77777777" w:rsidR="00503246" w:rsidRPr="00BA40D0" w:rsidRDefault="00267543">
            <w:pPr>
              <w:pStyle w:val="NormalWeb"/>
              <w:shd w:val="clear" w:color="auto" w:fill="FFFFFF"/>
              <w:spacing w:before="40" w:beforeAutospacing="0" w:after="0" w:afterAutospacing="0"/>
              <w:jc w:val="both"/>
              <w:rPr>
                <w:color w:val="000000" w:themeColor="text1"/>
                <w:lang w:val="it"/>
              </w:rPr>
            </w:pPr>
            <w:r w:rsidRPr="00BA40D0">
              <w:rPr>
                <w:color w:val="000000" w:themeColor="text1"/>
                <w:lang w:val="it"/>
              </w:rPr>
              <w:t>- Sửa đổi hình thức công bố trên “tạp chí chuyên ngành về giống cây trồng” sang công bố trên “Công báo về giống cây trồng” nhằm thay đổi phương thức công bố theo hướng phù hợp hơn với tính chất pháp lý của thông tin về xác lập và bảo vệ quyền đối với giống cây trồng.</w:t>
            </w:r>
          </w:p>
          <w:p w14:paraId="30200F9C" w14:textId="77777777" w:rsidR="00503246" w:rsidRPr="00BA40D0" w:rsidRDefault="00267543">
            <w:pPr>
              <w:pStyle w:val="NormalWeb"/>
              <w:shd w:val="clear" w:color="auto" w:fill="FFFFFF"/>
              <w:spacing w:before="0" w:beforeAutospacing="0" w:after="0" w:afterAutospacing="0"/>
              <w:jc w:val="both"/>
              <w:rPr>
                <w:color w:val="000000" w:themeColor="text1"/>
                <w:lang w:val="it"/>
              </w:rPr>
            </w:pPr>
            <w:r w:rsidRPr="00BA40D0">
              <w:rPr>
                <w:color w:val="000000" w:themeColor="text1"/>
                <w:lang w:val="it"/>
              </w:rPr>
              <w:t>Thực tiễn thời gian qua, mặc dù các thông tin về bảo hộ giống cây trồng được công bố trên tạp chí chuyên ngành dưới cả hình thức bản giấy và điện tử, khả năng tiếp cận của các tổ chức, cá nhân có liên quan còn hạn chế; thông tin về bảo hộ giống cây trồng chỉ chiếm một phần nhỏ, thường được bố trí ở các trang cuối trong một ấn phẩm có dung lượng lớn và nội dung chủ yếu về chuyên ngành nông nghiệp. Trong khi đó, các thông tin về cấp, sửa đổi, đình chỉ, hủy bỏ hiệu lực Bằng bảo hộ có ý nghĩa pháp lý trực tiếp đối với người đăng ký, chủ Bằng và bên thứ ba, do đó cần có phương thức công bố tập trung, thuận tiện cho việc tra cứu, theo dõi tình trạng pháp lý và tiếp cận thông tin.</w:t>
            </w:r>
          </w:p>
          <w:p w14:paraId="59039861" w14:textId="77777777" w:rsidR="00503246" w:rsidRPr="00BA40D0" w:rsidRDefault="00267543">
            <w:pPr>
              <w:pStyle w:val="NormalWeb"/>
              <w:shd w:val="clear" w:color="auto" w:fill="FFFFFF"/>
              <w:spacing w:before="0" w:beforeAutospacing="0" w:after="40" w:afterAutospacing="0"/>
              <w:jc w:val="both"/>
              <w:rPr>
                <w:color w:val="000000" w:themeColor="text1"/>
                <w:lang w:val="it"/>
              </w:rPr>
            </w:pPr>
            <w:r w:rsidRPr="00BA40D0">
              <w:rPr>
                <w:color w:val="000000" w:themeColor="text1"/>
                <w:lang w:val="it"/>
              </w:rPr>
              <w:t xml:space="preserve">“Công báo về giống cây trồng” theo dự thảo là phương thức công bố được xác lập để thay thế việc công bố trên tạp chí chuyên ngành, hướng tới công bố tập trung, thống nhất bao gồm bản giấy và bản điện tử (đăng trên cổng thông tin điện tử của cơ quan quản lý nhà </w:t>
            </w:r>
            <w:r w:rsidRPr="00BA40D0">
              <w:rPr>
                <w:color w:val="000000" w:themeColor="text1"/>
                <w:lang w:val="it"/>
              </w:rPr>
              <w:lastRenderedPageBreak/>
              <w:t xml:space="preserve">nước về giống cây trồng), phù hợp với yêu cầu chuyển đổi số và quản lý nhà nước về sở hữu trí tuệ. Việc xây dựng “Công báo về giống cây trồng” tương tự như quy định về “Công báo sở hữu công nghiệp” quy định tại Luật SHTT. Sau khi chức năng quản lý nhà nước về giống cây trồng được chuyển sang cho Bộ KH&amp;CN việc xây dựng “công báo về giống cây trồng” bên cạnh “công báo sở hữu công nghiệp” cũng tạo thuận lợi và thống nhất trong cách thức công bố thông tin. </w:t>
            </w:r>
          </w:p>
          <w:p w14:paraId="79F9B0BA" w14:textId="5D9BD138" w:rsidR="00503246" w:rsidRPr="00BA40D0" w:rsidRDefault="00267543">
            <w:pPr>
              <w:pStyle w:val="NormalWeb"/>
              <w:shd w:val="clear" w:color="auto" w:fill="FFFFFF"/>
              <w:spacing w:before="0" w:beforeAutospacing="0" w:after="40" w:afterAutospacing="0"/>
              <w:jc w:val="both"/>
              <w:rPr>
                <w:color w:val="000000" w:themeColor="text1"/>
              </w:rPr>
            </w:pPr>
            <w:r w:rsidRPr="00BA40D0">
              <w:rPr>
                <w:color w:val="000000" w:themeColor="text1"/>
                <w:lang w:val="it"/>
              </w:rPr>
              <w:t xml:space="preserve">- Đồng thời đề xuất giảm thời hạn công bố xuống còn 30 ngày: Việc rút ngắn thời hạn công bố nhằm đẩy nhanh việc công khai thông tin, phù hợp với yêu cầu cải cách thủ tục hành chính, chuyển đổi số, đồng thời hài hòa với thời hạn công bố đang được áp dụng đối với các thủ tục xác lập quyền sở hữu công nghiệp. Công ước UPOV không quy định thời hạn cụ thể đối với việc công bố quyết định cấp bằng mà yêu cầu các thành viên bảo đảm công chúng được tiếp cận thông tin về các giống đăng ký bảo hộ thông qua việc công bố định kỳ. Việc rút ngắn thời hạn công bố không làm giảm thời gian tiếp cận thông tin của tổ chức, cá nhân có liên quan mà giúp thông tin được công khai sớm hơn, tạo điều kiện để bên thứ ba theo dõi tình trạng pháp lý của đơn và kịp thời thực hiện quyền khiếu nại và các quyền có liên quan. </w:t>
            </w:r>
          </w:p>
        </w:tc>
      </w:tr>
      <w:tr w:rsidR="00BA40D0" w:rsidRPr="00BA40D0" w14:paraId="33DA4D89" w14:textId="77777777">
        <w:tc>
          <w:tcPr>
            <w:tcW w:w="14420" w:type="dxa"/>
            <w:gridSpan w:val="3"/>
          </w:tcPr>
          <w:p w14:paraId="77B69E0D"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i/>
                <w:color w:val="000000" w:themeColor="text1"/>
              </w:rPr>
              <w:lastRenderedPageBreak/>
              <w:t>Mục 2. ĐƠN VÀ THỦ TỤC XỬ LÝ ĐƠN ĐĂNG KÝ BẢO HỘ</w:t>
            </w:r>
            <w:r w:rsidRPr="00BA40D0">
              <w:rPr>
                <w:rFonts w:ascii="Times New Roman" w:eastAsia="Times New Roman" w:hAnsi="Times New Roman" w:cs="Times New Roman"/>
                <w:b/>
                <w:color w:val="000000" w:themeColor="text1"/>
              </w:rPr>
              <w:tab/>
            </w:r>
          </w:p>
        </w:tc>
      </w:tr>
      <w:tr w:rsidR="00BA40D0" w:rsidRPr="00BA40D0" w14:paraId="2F4AB34E" w14:textId="77777777">
        <w:tc>
          <w:tcPr>
            <w:tcW w:w="4923" w:type="dxa"/>
          </w:tcPr>
          <w:p w14:paraId="58DD6180"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lastRenderedPageBreak/>
              <w:t>Điều 174. Đơn đăng ký bảo hộ</w:t>
            </w:r>
          </w:p>
        </w:tc>
        <w:tc>
          <w:tcPr>
            <w:tcW w:w="4961" w:type="dxa"/>
          </w:tcPr>
          <w:p w14:paraId="3FF25872"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Điều 174. Đơn đăng ký bảo hộ</w:t>
            </w:r>
          </w:p>
        </w:tc>
        <w:tc>
          <w:tcPr>
            <w:tcW w:w="4536" w:type="dxa"/>
          </w:tcPr>
          <w:p w14:paraId="4F37EB4C"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5E3CDB05" w14:textId="77777777">
        <w:tc>
          <w:tcPr>
            <w:tcW w:w="4923" w:type="dxa"/>
          </w:tcPr>
          <w:p w14:paraId="5FCD720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1. Đơn đăng ký bảo hộ gồm các tài liệu sau đây:</w:t>
            </w:r>
          </w:p>
          <w:p w14:paraId="679B72D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a) Tờ khai đăng ký theo mẫu quy định;</w:t>
            </w:r>
          </w:p>
          <w:p w14:paraId="5190AFB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b) Ảnh chụp, tờ khai kỹ thuật theo mẫu quy định;</w:t>
            </w:r>
          </w:p>
          <w:p w14:paraId="36B0E52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c) Văn bản uỷ quyền, nếu đơn được nộp thông qua đại diện;</w:t>
            </w:r>
          </w:p>
          <w:p w14:paraId="3B52F5E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d) Tài liệu chứng minh quyền đăng ký, nếu người đăng ký là người được chuyển giao quyền đăng ký;</w:t>
            </w:r>
          </w:p>
          <w:p w14:paraId="78B1AE9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đ) Tài liệu chứng minh quyền ưu tiên, nếu đơn có yêu cầu hưởng quyền ưu tiên;</w:t>
            </w:r>
          </w:p>
          <w:p w14:paraId="5383856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e) Chứng từ nộp phí, lệ phí.</w:t>
            </w:r>
          </w:p>
        </w:tc>
        <w:tc>
          <w:tcPr>
            <w:tcW w:w="4961" w:type="dxa"/>
          </w:tcPr>
          <w:p w14:paraId="77A0F928"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lang w:val="vi-VN"/>
              </w:rPr>
            </w:pPr>
            <w:r w:rsidRPr="00BA40D0">
              <w:rPr>
                <w:rFonts w:ascii="Times New Roman" w:eastAsia="Times New Roman" w:hAnsi="Times New Roman" w:cs="Times New Roman"/>
                <w:color w:val="000000" w:themeColor="text1"/>
                <w:lang w:val="vi-VN"/>
              </w:rPr>
              <w:t xml:space="preserve">1. Đơn đăng ký bảo hộ </w:t>
            </w:r>
            <w:r w:rsidRPr="00BA40D0">
              <w:rPr>
                <w:rFonts w:ascii="Times New Roman" w:eastAsia="Times New Roman" w:hAnsi="Times New Roman" w:cs="Times New Roman"/>
                <w:b/>
                <w:bCs/>
                <w:i/>
                <w:iCs/>
                <w:color w:val="000000" w:themeColor="text1"/>
                <w:lang w:val="vi-VN"/>
              </w:rPr>
              <w:t xml:space="preserve">bao </w:t>
            </w:r>
            <w:r w:rsidRPr="00BA40D0">
              <w:rPr>
                <w:rFonts w:ascii="Times New Roman" w:eastAsia="Times New Roman" w:hAnsi="Times New Roman" w:cs="Times New Roman"/>
                <w:color w:val="000000" w:themeColor="text1"/>
                <w:lang w:val="vi-VN"/>
              </w:rPr>
              <w:t xml:space="preserve">gồm các tài liệu </w:t>
            </w:r>
            <w:r w:rsidRPr="00BA40D0">
              <w:rPr>
                <w:rFonts w:ascii="Times New Roman" w:eastAsia="Times New Roman" w:hAnsi="Times New Roman" w:cs="Times New Roman"/>
                <w:strike/>
                <w:color w:val="000000" w:themeColor="text1"/>
                <w:lang w:val="vi-VN"/>
              </w:rPr>
              <w:t>sau đây:</w:t>
            </w:r>
            <w:r w:rsidRPr="00BA40D0">
              <w:rPr>
                <w:color w:val="000000" w:themeColor="text1"/>
              </w:rPr>
              <w:t xml:space="preserve"> </w:t>
            </w:r>
            <w:r w:rsidRPr="00BA40D0">
              <w:rPr>
                <w:rFonts w:ascii="Times New Roman" w:eastAsia="Times New Roman" w:hAnsi="Times New Roman" w:cs="Times New Roman"/>
                <w:b/>
                <w:bCs/>
                <w:i/>
                <w:iCs/>
                <w:color w:val="000000" w:themeColor="text1"/>
                <w:lang w:val="vi-VN"/>
              </w:rPr>
              <w:t>về đối tượng yêu cầu bảo hộ giống cây trồng và các tài liệu khác liên quan.</w:t>
            </w:r>
          </w:p>
          <w:p w14:paraId="75837DB2"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a) Tờ khai đăng ký theo mẫu quy định;</w:t>
            </w:r>
          </w:p>
          <w:p w14:paraId="507A13C5"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b) Ảnh chụp, tờ khai kỹ thuật theo mẫu quy định;</w:t>
            </w:r>
          </w:p>
          <w:p w14:paraId="76553B03"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c) Văn bản uỷ quyền, nếu đơn được nộp thông qua đại diện;</w:t>
            </w:r>
          </w:p>
          <w:p w14:paraId="3EC5E91C"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d) Tài liệu chứng minh quyền đăng ký, nếu người đăng ký là người được chuyển giao quyền đăng ký;</w:t>
            </w:r>
          </w:p>
          <w:p w14:paraId="498CBD4D"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đ) Tài liệu chứng minh quyền ưu tiên, nếu đơn có yêu cầu hưởng quyền ưu tiên;</w:t>
            </w:r>
          </w:p>
          <w:p w14:paraId="3746FC8E"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strike/>
                <w:color w:val="000000" w:themeColor="text1"/>
                <w:lang w:val="vi-VN"/>
              </w:rPr>
              <w:t>e) Chứng từ nộp phí, lệ phí.</w:t>
            </w:r>
          </w:p>
        </w:tc>
        <w:tc>
          <w:tcPr>
            <w:tcW w:w="4536" w:type="dxa"/>
            <w:vMerge w:val="restart"/>
          </w:tcPr>
          <w:p w14:paraId="3953954C"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Điều 174 theo hướng chỉ quy định nguyên tắc về thành phần hồ sơ đăng ký bảo hộ giống cây trồng và yêu cầu về ngôn ngữ của hồ sơ, đồng thời giao Chính phủ quy định chi tiết nhằm đáp ứng yêu cầu cải cách thủ tục hành chính, chuyển đổi số đồng thời thống nhất kỹ thuật lập pháp với các quy định về xác lập quyền đối với các đối tượng sở hữu công nghiệp trong Luật Sở hữu trí tuệ (tương tự như Điều 100 của Luật SHTT được sửa đổi, bổ sung bởi khoản 31 Điều 1 của Luật số 131/2025/QH15).</w:t>
            </w:r>
          </w:p>
          <w:p w14:paraId="569369E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Theo đó, Nghị định 79/2023/NĐ-CP sẽ bổ sung quy định để làm rõ thành phần tài liệu của đơn đăng ký bảo hộ giống cây trồng (về cơ bản kế thừa quy định tại Luật), tạo thuận lợi hơn cho việc sửa đổi quy định pháp luật trong bối cảnh yêu cầu cắt giảm thủ tục hành chính. </w:t>
            </w:r>
          </w:p>
          <w:p w14:paraId="3B26E570"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6E07FB02" w14:textId="77777777">
        <w:tc>
          <w:tcPr>
            <w:tcW w:w="4923" w:type="dxa"/>
          </w:tcPr>
          <w:p w14:paraId="5FAB26C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2. Đơn đăng ký bảo hộ và các giấy tờ giao dịch giữa người đăng ký và cơ quan quản lý nhà nước về quyền đối với giống cây trồng phải được làm bằng tiếng Việt, trừ các tài liệu sau đây có thể được làm bằng ngôn ngữ khác nhưng phải được dịch ra tiếng Việt khi cơ quan quản lý nhà nước về quyền đối với giống cây trồng yêu cầu:</w:t>
            </w:r>
          </w:p>
          <w:p w14:paraId="43FBA9F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 xml:space="preserve">a) </w:t>
            </w:r>
            <w:r w:rsidRPr="00BA40D0">
              <w:rPr>
                <w:rFonts w:ascii="Times New Roman" w:eastAsia="Times New Roman" w:hAnsi="Times New Roman" w:cs="Times New Roman"/>
                <w:color w:val="000000" w:themeColor="text1"/>
                <w:lang w:val="en-US"/>
              </w:rPr>
              <w:t>Văn bản</w:t>
            </w:r>
            <w:r w:rsidRPr="00BA40D0">
              <w:rPr>
                <w:rFonts w:ascii="Times New Roman" w:eastAsia="Times New Roman" w:hAnsi="Times New Roman" w:cs="Times New Roman"/>
                <w:color w:val="000000" w:themeColor="text1"/>
                <w:lang w:val="vi-VN"/>
              </w:rPr>
              <w:t xml:space="preserve"> uỷ quyền;</w:t>
            </w:r>
          </w:p>
          <w:p w14:paraId="28B3298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b) Tài liệu chứng minh quyền đăng ký;</w:t>
            </w:r>
          </w:p>
          <w:p w14:paraId="7C4C71C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c) Tài liệu chứng minh quyền ưu tiên;</w:t>
            </w:r>
          </w:p>
          <w:p w14:paraId="1BB70FA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d) Các tài liệu khác để bổ trợ cho đơn.</w:t>
            </w:r>
          </w:p>
        </w:tc>
        <w:tc>
          <w:tcPr>
            <w:tcW w:w="4961" w:type="dxa"/>
          </w:tcPr>
          <w:p w14:paraId="58DF7006"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 xml:space="preserve">2. Đơn đăng ký bảo hộ và các giấy tờ giao dịch giữa người đăng ký và cơ quan quản lý nhà nước về quyền đối với giống cây trồng phải được làm bằng tiếng Việt, trừ </w:t>
            </w:r>
            <w:r w:rsidRPr="00BA40D0">
              <w:rPr>
                <w:rFonts w:ascii="Times New Roman" w:eastAsia="Times New Roman" w:hAnsi="Times New Roman" w:cs="Times New Roman"/>
                <w:b/>
                <w:bCs/>
                <w:i/>
                <w:iCs/>
                <w:color w:val="000000" w:themeColor="text1"/>
                <w:lang w:val="vi-VN"/>
              </w:rPr>
              <w:t>một số</w:t>
            </w:r>
            <w:r w:rsidRPr="00BA40D0">
              <w:rPr>
                <w:rFonts w:ascii="Times New Roman" w:eastAsia="Times New Roman" w:hAnsi="Times New Roman" w:cs="Times New Roman"/>
                <w:color w:val="000000" w:themeColor="text1"/>
                <w:lang w:val="vi-VN"/>
              </w:rPr>
              <w:t xml:space="preserve"> </w:t>
            </w:r>
            <w:r w:rsidRPr="00BA40D0">
              <w:rPr>
                <w:rFonts w:ascii="Times New Roman" w:eastAsia="Times New Roman" w:hAnsi="Times New Roman" w:cs="Times New Roman"/>
                <w:strike/>
                <w:color w:val="000000" w:themeColor="text1"/>
                <w:lang w:val="vi-VN"/>
              </w:rPr>
              <w:t>các</w:t>
            </w:r>
            <w:r w:rsidRPr="00BA40D0">
              <w:rPr>
                <w:rFonts w:ascii="Times New Roman" w:eastAsia="Times New Roman" w:hAnsi="Times New Roman" w:cs="Times New Roman"/>
                <w:color w:val="000000" w:themeColor="text1"/>
                <w:lang w:val="vi-VN"/>
              </w:rPr>
              <w:t xml:space="preserve"> tài liệu </w:t>
            </w:r>
            <w:r w:rsidRPr="00BA40D0">
              <w:rPr>
                <w:rFonts w:ascii="Times New Roman" w:eastAsia="Times New Roman" w:hAnsi="Times New Roman" w:cs="Times New Roman"/>
                <w:strike/>
                <w:color w:val="000000" w:themeColor="text1"/>
                <w:lang w:val="vi-VN"/>
              </w:rPr>
              <w:t>sau đây</w:t>
            </w:r>
            <w:r w:rsidRPr="00BA40D0">
              <w:rPr>
                <w:rFonts w:ascii="Times New Roman" w:eastAsia="Times New Roman" w:hAnsi="Times New Roman" w:cs="Times New Roman"/>
                <w:color w:val="000000" w:themeColor="text1"/>
                <w:lang w:val="vi-VN"/>
              </w:rPr>
              <w:t xml:space="preserve"> có thể được làm bằng ngôn ngữ khác nhưng phải được dịch ra tiếng Việt khi </w:t>
            </w:r>
            <w:r w:rsidRPr="00BA40D0">
              <w:rPr>
                <w:rFonts w:ascii="Times New Roman" w:eastAsia="Times New Roman" w:hAnsi="Times New Roman" w:cs="Times New Roman"/>
                <w:b/>
                <w:bCs/>
                <w:i/>
                <w:iCs/>
                <w:color w:val="000000" w:themeColor="text1"/>
                <w:lang w:val="vi-VN"/>
              </w:rPr>
              <w:t>có</w:t>
            </w:r>
            <w:r w:rsidRPr="00BA40D0">
              <w:rPr>
                <w:rFonts w:ascii="Times New Roman" w:eastAsia="Times New Roman" w:hAnsi="Times New Roman" w:cs="Times New Roman"/>
                <w:color w:val="000000" w:themeColor="text1"/>
                <w:lang w:val="vi-VN"/>
              </w:rPr>
              <w:t xml:space="preserve"> </w:t>
            </w:r>
            <w:r w:rsidRPr="00BA40D0">
              <w:rPr>
                <w:rFonts w:ascii="Times New Roman" w:eastAsia="Times New Roman" w:hAnsi="Times New Roman" w:cs="Times New Roman"/>
                <w:strike/>
                <w:color w:val="000000" w:themeColor="text1"/>
                <w:lang w:val="vi-VN"/>
              </w:rPr>
              <w:t>cơ quan quản lý nhà nước về quyền đối với giống cây trồng</w:t>
            </w:r>
            <w:r w:rsidRPr="00BA40D0">
              <w:rPr>
                <w:rFonts w:ascii="Times New Roman" w:eastAsia="Times New Roman" w:hAnsi="Times New Roman" w:cs="Times New Roman"/>
                <w:color w:val="000000" w:themeColor="text1"/>
                <w:lang w:val="vi-VN"/>
              </w:rPr>
              <w:t xml:space="preserve"> yêu cầu</w:t>
            </w:r>
            <w:r w:rsidRPr="00BA40D0">
              <w:rPr>
                <w:rFonts w:ascii="Times New Roman" w:eastAsia="Times New Roman" w:hAnsi="Times New Roman" w:cs="Times New Roman"/>
                <w:b/>
                <w:bCs/>
                <w:i/>
                <w:iCs/>
                <w:color w:val="000000" w:themeColor="text1"/>
                <w:lang w:val="vi-VN"/>
              </w:rPr>
              <w:t>.</w:t>
            </w:r>
            <w:r w:rsidRPr="00BA40D0">
              <w:rPr>
                <w:rFonts w:ascii="Times New Roman" w:eastAsia="Times New Roman" w:hAnsi="Times New Roman" w:cs="Times New Roman"/>
                <w:strike/>
                <w:color w:val="000000" w:themeColor="text1"/>
                <w:lang w:val="vi-VN"/>
              </w:rPr>
              <w:t>:</w:t>
            </w:r>
          </w:p>
          <w:p w14:paraId="0ED97C89"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a) Văn bản uỷ quyền;</w:t>
            </w:r>
          </w:p>
          <w:p w14:paraId="488B4BE4"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b) Tài liệu chứng minh quyền đăng ký;</w:t>
            </w:r>
          </w:p>
          <w:p w14:paraId="22EB458B"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lang w:val="vi-VN"/>
              </w:rPr>
            </w:pPr>
            <w:r w:rsidRPr="00BA40D0">
              <w:rPr>
                <w:rFonts w:ascii="Times New Roman" w:eastAsia="Times New Roman" w:hAnsi="Times New Roman" w:cs="Times New Roman"/>
                <w:strike/>
                <w:color w:val="000000" w:themeColor="text1"/>
                <w:lang w:val="vi-VN"/>
              </w:rPr>
              <w:t>c) Tài liệu chứng minh quyền ưu tiên;</w:t>
            </w:r>
          </w:p>
          <w:p w14:paraId="36D7A590"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strike/>
                <w:color w:val="000000" w:themeColor="text1"/>
                <w:lang w:val="vi-VN"/>
              </w:rPr>
              <w:t>d) Các tài liệu khác để bổ trợ cho đơn.</w:t>
            </w:r>
          </w:p>
        </w:tc>
        <w:tc>
          <w:tcPr>
            <w:tcW w:w="4536" w:type="dxa"/>
            <w:vMerge/>
          </w:tcPr>
          <w:p w14:paraId="09F74468"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03C8B2D8" w14:textId="77777777">
        <w:tc>
          <w:tcPr>
            <w:tcW w:w="4923" w:type="dxa"/>
          </w:tcPr>
          <w:p w14:paraId="4335628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3. Tài liệu chứng minh quyền ưu tiên của đơn đăng ký bảo hộ quyền đối với giống cây trồng gồm:</w:t>
            </w:r>
          </w:p>
          <w:p w14:paraId="7211B6F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lastRenderedPageBreak/>
              <w:t>a) Bản sao đơn hoặc các đơn đầu tiên có xác nhận của cơ quan nhận đơn;</w:t>
            </w:r>
          </w:p>
          <w:p w14:paraId="2CA557C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t>b) Giấy chuyển giao, thừa kế, kế thừa quyền ưu tiên, nếu quyền đó được thụ hưởng từ người khác.</w:t>
            </w:r>
          </w:p>
        </w:tc>
        <w:tc>
          <w:tcPr>
            <w:tcW w:w="4961" w:type="dxa"/>
          </w:tcPr>
          <w:p w14:paraId="5E2662A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rPr>
              <w:lastRenderedPageBreak/>
              <w:t>Giữ nguyên</w:t>
            </w:r>
          </w:p>
        </w:tc>
        <w:tc>
          <w:tcPr>
            <w:tcW w:w="4536" w:type="dxa"/>
          </w:tcPr>
          <w:p w14:paraId="01A3CBA9"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16F9E098" w14:textId="77777777">
        <w:tc>
          <w:tcPr>
            <w:tcW w:w="4923" w:type="dxa"/>
          </w:tcPr>
          <w:p w14:paraId="4581AE8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lang w:val="vi-VN"/>
              </w:rPr>
            </w:pPr>
            <w:r w:rsidRPr="00BA40D0">
              <w:rPr>
                <w:rFonts w:ascii="Times New Roman" w:eastAsia="Times New Roman" w:hAnsi="Times New Roman" w:cs="Times New Roman"/>
                <w:color w:val="000000" w:themeColor="text1"/>
                <w:lang w:val="vi-VN"/>
              </w:rPr>
              <w:lastRenderedPageBreak/>
              <w:t>4. Mỗi đơn chỉ được đăng ký bảo hộ cho một giống cây trồng.</w:t>
            </w:r>
          </w:p>
        </w:tc>
        <w:tc>
          <w:tcPr>
            <w:tcW w:w="4961" w:type="dxa"/>
          </w:tcPr>
          <w:p w14:paraId="1B11873C" w14:textId="77777777" w:rsidR="00503246" w:rsidRPr="00BA40D0" w:rsidRDefault="00503246">
            <w:pPr>
              <w:spacing w:before="60" w:after="60" w:line="240" w:lineRule="auto"/>
              <w:jc w:val="both"/>
              <w:rPr>
                <w:rFonts w:ascii="Times New Roman" w:eastAsia="Times New Roman" w:hAnsi="Times New Roman" w:cs="Times New Roman"/>
                <w:color w:val="000000" w:themeColor="text1"/>
                <w:lang w:val="vi-VN"/>
              </w:rPr>
            </w:pPr>
          </w:p>
        </w:tc>
        <w:tc>
          <w:tcPr>
            <w:tcW w:w="4536" w:type="dxa"/>
          </w:tcPr>
          <w:p w14:paraId="0A7DCBA3"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217E3DA2" w14:textId="77777777">
        <w:tc>
          <w:tcPr>
            <w:tcW w:w="4923" w:type="dxa"/>
          </w:tcPr>
          <w:p w14:paraId="0B29D96D" w14:textId="77777777" w:rsidR="00503246" w:rsidRPr="00BA40D0" w:rsidRDefault="00503246">
            <w:pPr>
              <w:spacing w:before="60" w:after="60" w:line="240" w:lineRule="auto"/>
              <w:jc w:val="both"/>
              <w:rPr>
                <w:rFonts w:ascii="Times New Roman" w:eastAsia="Times New Roman" w:hAnsi="Times New Roman" w:cs="Times New Roman"/>
                <w:color w:val="000000" w:themeColor="text1"/>
                <w:lang w:val="vi-VN"/>
              </w:rPr>
            </w:pPr>
          </w:p>
        </w:tc>
        <w:tc>
          <w:tcPr>
            <w:tcW w:w="4961" w:type="dxa"/>
          </w:tcPr>
          <w:p w14:paraId="5F86D288" w14:textId="77777777" w:rsidR="00503246" w:rsidRPr="00BA40D0" w:rsidRDefault="00267543">
            <w:pPr>
              <w:spacing w:before="60" w:after="60" w:line="240" w:lineRule="auto"/>
              <w:jc w:val="both"/>
              <w:rPr>
                <w:rFonts w:ascii="Times New Roman" w:eastAsia="Times New Roman" w:hAnsi="Times New Roman" w:cs="Times New Roman"/>
                <w:b/>
                <w:i/>
                <w:iCs/>
                <w:color w:val="000000" w:themeColor="text1"/>
              </w:rPr>
            </w:pPr>
            <w:r w:rsidRPr="00BA40D0">
              <w:rPr>
                <w:rFonts w:ascii="Times New Roman" w:eastAsia="Times New Roman" w:hAnsi="Times New Roman" w:cs="Times New Roman"/>
                <w:b/>
                <w:i/>
                <w:iCs/>
                <w:color w:val="000000" w:themeColor="text1"/>
              </w:rPr>
              <w:t>5. Chính phủ quy định chi tiết Điều này.</w:t>
            </w:r>
          </w:p>
        </w:tc>
        <w:tc>
          <w:tcPr>
            <w:tcW w:w="4536" w:type="dxa"/>
          </w:tcPr>
          <w:p w14:paraId="5247A47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Cơ sở để chuyển các quy định xuống Nghị định</w:t>
            </w:r>
          </w:p>
        </w:tc>
      </w:tr>
      <w:tr w:rsidR="00BA40D0" w:rsidRPr="00BA40D0" w14:paraId="0DD1A765" w14:textId="77777777">
        <w:tc>
          <w:tcPr>
            <w:tcW w:w="4923" w:type="dxa"/>
          </w:tcPr>
          <w:p w14:paraId="030F2AC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Điều 176. Thẩm định hình thức đơn đăng ký bảo hộ</w:t>
            </w:r>
            <w:r w:rsidRPr="00BA40D0">
              <w:rPr>
                <w:rFonts w:ascii="Times New Roman" w:eastAsia="Times New Roman" w:hAnsi="Times New Roman" w:cs="Times New Roman"/>
                <w:b/>
                <w:color w:val="000000" w:themeColor="text1"/>
              </w:rPr>
              <w:tab/>
            </w:r>
          </w:p>
        </w:tc>
        <w:tc>
          <w:tcPr>
            <w:tcW w:w="4961" w:type="dxa"/>
          </w:tcPr>
          <w:p w14:paraId="77E7B262"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176. Thẩm định hình thức đơn đăng ký bảo hộ</w:t>
            </w:r>
            <w:r w:rsidRPr="00BA40D0">
              <w:rPr>
                <w:rFonts w:ascii="Times New Roman" w:eastAsia="Times New Roman" w:hAnsi="Times New Roman" w:cs="Times New Roman"/>
                <w:b/>
                <w:color w:val="000000" w:themeColor="text1"/>
              </w:rPr>
              <w:tab/>
            </w:r>
          </w:p>
        </w:tc>
        <w:tc>
          <w:tcPr>
            <w:tcW w:w="4536" w:type="dxa"/>
          </w:tcPr>
          <w:p w14:paraId="0EB34102"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64A7FC55" w14:textId="77777777">
        <w:tc>
          <w:tcPr>
            <w:tcW w:w="4923" w:type="dxa"/>
          </w:tcPr>
          <w:p w14:paraId="3F0F93F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Cơ quan quản lý nhà nước về quyền đối với giống cây trồng thẩm định hình thức đơn trong thời hạn mười lăm ngày, kể từ ngày nhận đơn để xác định tính hợp lệ của đơn.</w:t>
            </w:r>
          </w:p>
        </w:tc>
        <w:tc>
          <w:tcPr>
            <w:tcW w:w="4961" w:type="dxa"/>
          </w:tcPr>
          <w:p w14:paraId="53AC9FD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207C8932" w14:textId="77777777" w:rsidR="00503246" w:rsidRPr="00BA40D0" w:rsidRDefault="00503246">
            <w:pPr>
              <w:spacing w:before="60" w:after="60" w:line="240" w:lineRule="auto"/>
              <w:jc w:val="both"/>
              <w:rPr>
                <w:rFonts w:ascii="Times New Roman" w:eastAsia="Times New Roman" w:hAnsi="Times New Roman" w:cs="Times New Roman"/>
                <w:color w:val="000000" w:themeColor="text1"/>
                <w:lang w:val="it-IT"/>
              </w:rPr>
            </w:pPr>
          </w:p>
        </w:tc>
      </w:tr>
      <w:tr w:rsidR="00BA40D0" w:rsidRPr="00BA40D0" w14:paraId="3DC1C4E8" w14:textId="77777777">
        <w:tc>
          <w:tcPr>
            <w:tcW w:w="4923" w:type="dxa"/>
          </w:tcPr>
          <w:p w14:paraId="1B88396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2. Đơn đăng ký bảo hộ được coi là không hợp lệ trong các trường hợp sau đây: </w:t>
            </w:r>
          </w:p>
          <w:p w14:paraId="540FB75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a) Đơn không đáp ứng các yêu cầu về hình thức theo quy định; </w:t>
            </w:r>
          </w:p>
          <w:p w14:paraId="79F8FC36" w14:textId="77777777" w:rsidR="00503246" w:rsidRPr="00BA40D0" w:rsidRDefault="00267543">
            <w:pPr>
              <w:spacing w:before="60" w:after="60" w:line="240" w:lineRule="auto"/>
              <w:jc w:val="both"/>
              <w:rPr>
                <w:rFonts w:ascii="Times New Roman" w:eastAsia="Times New Roman" w:hAnsi="Times New Roman" w:cs="Times New Roman"/>
                <w:i/>
                <w:iCs/>
                <w:color w:val="000000" w:themeColor="text1"/>
              </w:rPr>
            </w:pPr>
            <w:r w:rsidRPr="00BA40D0">
              <w:rPr>
                <w:rFonts w:ascii="Times New Roman" w:eastAsia="Times New Roman" w:hAnsi="Times New Roman" w:cs="Times New Roman"/>
                <w:i/>
                <w:iCs/>
                <w:color w:val="000000" w:themeColor="text1"/>
              </w:rPr>
              <w:t>b) Bị bãi bỏ;</w:t>
            </w:r>
          </w:p>
          <w:p w14:paraId="5FF096A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Đơn do người không có quyền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nộp, kể cả trường hợp quyền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thuộc nhiều tổ chức, cá nhân, nhưng một hoặc nhiều người trong số đó không đồng ý thực hiện việc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w:t>
            </w:r>
          </w:p>
        </w:tc>
        <w:tc>
          <w:tcPr>
            <w:tcW w:w="4961" w:type="dxa"/>
          </w:tcPr>
          <w:p w14:paraId="2BCF97C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55FF49DF"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2F85C91" w14:textId="77777777">
        <w:tc>
          <w:tcPr>
            <w:tcW w:w="4923" w:type="dxa"/>
          </w:tcPr>
          <w:p w14:paraId="4DABCA6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Cơ quan quản lý nhà nước về quyền đối với giống cây trồng thực hiện các thủ tục sau đây:</w:t>
            </w:r>
          </w:p>
          <w:p w14:paraId="5280AE4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a) Thông báo từ chối chấp nhận đơn đối với các trường hợp quy định tại điểm c khoản 2 Điều này, trong đó nêu rõ lý do từ chối; </w:t>
            </w:r>
          </w:p>
          <w:p w14:paraId="2DA9CF7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b) Thông báo cho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khắc phục những thiếu sót trong trường hợp quy định tại điểm a khoản 2 Điều này và ấn định trong thời hạn ba mươi ngày, kể từ ngày nhận được thông báo,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phải khắc phục các thiếu sót đó;</w:t>
            </w:r>
          </w:p>
          <w:p w14:paraId="6689495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Thông báo từ chối chấp nhận đơn, nếu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không khắc phục thiếu sót hoặc không có ý kiến xác đáng phản đối thông báo quy định tại điểm b khoản này;</w:t>
            </w:r>
          </w:p>
          <w:p w14:paraId="3BCEAC0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 Thông báo chấp nhận đơn, yêu cầu người đăng ký gửi mẫu giống đến cơ sở khảo nghiệm để tiến hành khảo nghiệm kỹ thuật trong thời hạn ba mươi ngày trước thời vụ gieo trồng đầu tiên, kể từ ngày ban hành thông báo chấp nhận đơn đăng ký bảo hộ giống cây trồng đó, trừ trường hợp giống cây trồng do người đăng ký tự khảo nghiệm theo quy định tại khoản 2 Điều 178 của Luật này nếu đơn này hợp lệ hoặc người đăng ký khắc phục thiếu sót đạt yêu cầu hoặc có ý kiến xác đáng phản đối thông báo quy định tại điểm b khoản này. Trường hợp người đăng ký tự thực hiện khảo nghiệm kỹ thuật, việc khảo nghiệm phải được bắt đầu thực hiện trong thời hạn hai mươi tư tháng kể từ ngày đơn được chấp nhận hợp lệ. Quá thời hạn trên người đăng ký chưa bắt đầu thực hiện tự khảo nghiệm thì đơn đăng ký bảo hộ giống cây trồng được coi như đã rút tại thời điểm kết thúc thời hạn đó.</w:t>
            </w:r>
          </w:p>
        </w:tc>
        <w:tc>
          <w:tcPr>
            <w:tcW w:w="4961" w:type="dxa"/>
          </w:tcPr>
          <w:p w14:paraId="02A95458"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lastRenderedPageBreak/>
              <w:t>3. Cơ quan quản lý nhà nước về quyền đối với giống cây trồng thực hiện các thủ tục sau đây:</w:t>
            </w:r>
          </w:p>
          <w:p w14:paraId="35156D5D"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 xml:space="preserve">a) Thông báo từ chối chấp nhận đơn đối với các trường hợp quy định tại điểm c khoản 2 Điều này, trong đó nêu rõ lý do từ chối; </w:t>
            </w:r>
          </w:p>
          <w:p w14:paraId="121167E0"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lastRenderedPageBreak/>
              <w:t>b) Thông báo cho người đăng k</w:t>
            </w:r>
            <w:r w:rsidRPr="00BA40D0">
              <w:rPr>
                <w:rFonts w:ascii="Times New Roman" w:eastAsia="Times New Roman" w:hAnsi="Times New Roman" w:cs="Times New Roman"/>
                <w:strike/>
                <w:color w:val="000000" w:themeColor="text1"/>
                <w:rtl/>
              </w:rPr>
              <w:t>‎</w:t>
            </w:r>
            <w:r w:rsidRPr="00BA40D0">
              <w:rPr>
                <w:rFonts w:ascii="Times New Roman" w:eastAsia="Times New Roman" w:hAnsi="Times New Roman" w:cs="Times New Roman"/>
                <w:strike/>
                <w:color w:val="000000" w:themeColor="text1"/>
              </w:rPr>
              <w:t>ý khắc phục những thiếu sót trong trường hợp quy định tại điểm a khoản 2 Điều này và ấn định trong thời hạn ba mươi ngày, kể từ ngày nhận được thông báo, người đăng k</w:t>
            </w:r>
            <w:r w:rsidRPr="00BA40D0">
              <w:rPr>
                <w:rFonts w:ascii="Times New Roman" w:eastAsia="Times New Roman" w:hAnsi="Times New Roman" w:cs="Times New Roman"/>
                <w:strike/>
                <w:color w:val="000000" w:themeColor="text1"/>
                <w:rtl/>
              </w:rPr>
              <w:t>‎</w:t>
            </w:r>
            <w:r w:rsidRPr="00BA40D0">
              <w:rPr>
                <w:rFonts w:ascii="Times New Roman" w:eastAsia="Times New Roman" w:hAnsi="Times New Roman" w:cs="Times New Roman"/>
                <w:strike/>
                <w:color w:val="000000" w:themeColor="text1"/>
              </w:rPr>
              <w:t>ý phải khắc phục các thiếu sót đó;</w:t>
            </w:r>
          </w:p>
          <w:p w14:paraId="40CAB3BF"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c) Thông báo từ chối chấp nhận đơn, nếu người đăng k</w:t>
            </w:r>
            <w:r w:rsidRPr="00BA40D0">
              <w:rPr>
                <w:rFonts w:ascii="Times New Roman" w:eastAsia="Times New Roman" w:hAnsi="Times New Roman" w:cs="Times New Roman"/>
                <w:strike/>
                <w:color w:val="000000" w:themeColor="text1"/>
                <w:rtl/>
              </w:rPr>
              <w:t>‎</w:t>
            </w:r>
            <w:r w:rsidRPr="00BA40D0">
              <w:rPr>
                <w:rFonts w:ascii="Times New Roman" w:eastAsia="Times New Roman" w:hAnsi="Times New Roman" w:cs="Times New Roman"/>
                <w:strike/>
                <w:color w:val="000000" w:themeColor="text1"/>
              </w:rPr>
              <w:t>ý không khắc phục thiếu sót hoặc không có ý kiến xác đáng phản đối thông báo quy định tại điểm b khoản này;</w:t>
            </w:r>
          </w:p>
          <w:p w14:paraId="3B5E8925"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d) Thông báo chấp nhận đơn, yêu cầu người đăng ký gửi mẫu giống đến cơ sở khảo nghiệm để tiến hành khảo nghiệm kỹ thuật trong thời hạn ba mươi ngày trước thời vụ gieo trồng đầu tiên, kể từ ngày ban hành thông báo chấp nhận đơn đăng ký bảo hộ giống cây trồng đó, trừ trường hợp giống cây trồng do người đăng ký tự khảo nghiệm theo quy định tại khoản 2 Điều 178 của Luật này nếu đơn này hợp lệ hoặc người đăng ký khắc phục thiếu sót đạt yêu cầu hoặc có ý kiến xác đáng phản đối thông báo quy định tại điểm b khoản này. Trường hợp người đăng ký tự thực hiện khảo nghiệm kỹ thuật, việc khảo nghiệm phải được bắt đầu thực hiện trong thời hạn hai mươi tư tháng kể từ ngày đơn được chấp nhận hợp lệ. Quá thời hạn trên người đăng ký chưa bắt đầu thực hiện tự khảo nghiệm thì đơn đăng ký bảo hộ giống cây trồng được coi như đã rút tại thời điểm kết thúc thời hạn đó.</w:t>
            </w:r>
          </w:p>
          <w:p w14:paraId="34C0135A" w14:textId="77777777" w:rsidR="00503246" w:rsidRPr="00BA40D0" w:rsidRDefault="00267543">
            <w:pPr>
              <w:spacing w:before="60" w:after="60" w:line="240" w:lineRule="auto"/>
              <w:jc w:val="both"/>
              <w:rPr>
                <w:rFonts w:ascii="Times New Roman" w:eastAsia="Times New Roman" w:hAnsi="Times New Roman" w:cs="Times New Roman"/>
                <w:b/>
                <w:i/>
                <w:iCs/>
                <w:color w:val="000000" w:themeColor="text1"/>
              </w:rPr>
            </w:pPr>
            <w:r w:rsidRPr="00BA40D0">
              <w:rPr>
                <w:rFonts w:ascii="Times New Roman" w:eastAsia="Times New Roman" w:hAnsi="Times New Roman" w:cs="Times New Roman"/>
                <w:b/>
                <w:i/>
                <w:iCs/>
                <w:color w:val="000000" w:themeColor="text1"/>
              </w:rPr>
              <w:t xml:space="preserve">3. Đơn đăng ký bảo hộ không thuộc các trường hợp quy định tại khoản 2 Điều này được coi là đơn hợp lệ về hình thức và được công bố theo </w:t>
            </w:r>
            <w:r w:rsidRPr="00BA40D0">
              <w:rPr>
                <w:rFonts w:ascii="Times New Roman" w:eastAsia="Times New Roman" w:hAnsi="Times New Roman" w:cs="Times New Roman"/>
                <w:b/>
                <w:i/>
                <w:iCs/>
                <w:color w:val="000000" w:themeColor="text1"/>
              </w:rPr>
              <w:lastRenderedPageBreak/>
              <w:t>quy định tại Điều 177 của Luật này. Ngày đơn được chuyển để công bố là ngày đơn được coi là hợp lệ về hình thức.</w:t>
            </w:r>
          </w:p>
          <w:p w14:paraId="47B34567" w14:textId="77777777" w:rsidR="00503246" w:rsidRPr="00BA40D0" w:rsidRDefault="00267543">
            <w:pPr>
              <w:spacing w:before="60" w:after="60" w:line="240" w:lineRule="auto"/>
              <w:jc w:val="both"/>
              <w:rPr>
                <w:rFonts w:ascii="Times New Roman" w:eastAsia="Times New Roman" w:hAnsi="Times New Roman" w:cs="Times New Roman"/>
                <w:b/>
                <w:i/>
                <w:iCs/>
                <w:color w:val="000000" w:themeColor="text1"/>
              </w:rPr>
            </w:pPr>
            <w:r w:rsidRPr="00BA40D0">
              <w:rPr>
                <w:rFonts w:ascii="Times New Roman" w:eastAsia="Times New Roman" w:hAnsi="Times New Roman" w:cs="Times New Roman"/>
                <w:b/>
                <w:i/>
                <w:iCs/>
                <w:color w:val="000000" w:themeColor="text1"/>
              </w:rPr>
              <w:t>Chính phủ quy định chi tiết việc thẩm định hình thức đơn đăng ký bảo hộ giống cây trồng.</w:t>
            </w:r>
          </w:p>
        </w:tc>
        <w:tc>
          <w:tcPr>
            <w:tcW w:w="4536" w:type="dxa"/>
          </w:tcPr>
          <w:p w14:paraId="437A54DD" w14:textId="1C72D086"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 xml:space="preserve">Sửa đổi Điều 176 theo hướng chỉ giữ các quy định về xác định đơn đăng ký được coi là không hợp lệ, còn trình tự, thủ tục (cách thức ban hành thông báo) sẽ giao Chính phủ quy định chi tiết để bảo đảm tính linh hoạt trong </w:t>
            </w:r>
            <w:r w:rsidRPr="00BA40D0">
              <w:rPr>
                <w:rFonts w:ascii="Times New Roman" w:eastAsia="Times New Roman" w:hAnsi="Times New Roman" w:cs="Times New Roman"/>
                <w:color w:val="000000" w:themeColor="text1"/>
              </w:rPr>
              <w:lastRenderedPageBreak/>
              <w:t xml:space="preserve">tổ chức thực hiện, đáp ứng yêu cầu cải cách thủ tục hành chính, chuyển đổi số và tạo điều kiện cập nhật kịp thời các quy định về trình tự, thủ tục phù hợp với thực tiễn quản lý nhà nước, đồng thời thống nhất kỹ thuật lập pháp đối với các quy định về trình tự, thủ tục xác lập quyền sở hữu công nghiệp (tương tự Điều 109 của Luật SHTT được sửa đổi, bổ sung bởi khoản 34 Điều 1 của Luật số 131/2025/QH15). </w:t>
            </w:r>
          </w:p>
          <w:p w14:paraId="471670F6"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A8F6D93" w14:textId="77777777">
        <w:tc>
          <w:tcPr>
            <w:tcW w:w="4923" w:type="dxa"/>
          </w:tcPr>
          <w:p w14:paraId="4D04004A" w14:textId="77777777" w:rsidR="00503246" w:rsidRPr="00BA40D0" w:rsidRDefault="00267543">
            <w:pPr>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b/>
                <w:bCs/>
                <w:color w:val="000000" w:themeColor="text1"/>
              </w:rPr>
              <w:lastRenderedPageBreak/>
              <w:t>Điều 177. Công bố đơn đăng ký bảo hộ</w:t>
            </w:r>
          </w:p>
        </w:tc>
        <w:tc>
          <w:tcPr>
            <w:tcW w:w="4961" w:type="dxa"/>
          </w:tcPr>
          <w:p w14:paraId="2D8BFA04" w14:textId="77777777" w:rsidR="00503246" w:rsidRPr="00BA40D0" w:rsidRDefault="00267543">
            <w:pPr>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b/>
                <w:bCs/>
                <w:color w:val="000000" w:themeColor="text1"/>
              </w:rPr>
              <w:t>Điều 177. Công bố đơn đăng ký bảo hộ</w:t>
            </w:r>
          </w:p>
        </w:tc>
        <w:tc>
          <w:tcPr>
            <w:tcW w:w="4536" w:type="dxa"/>
          </w:tcPr>
          <w:p w14:paraId="6E032AD7"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395D54A" w14:textId="77777777">
        <w:tc>
          <w:tcPr>
            <w:tcW w:w="4923" w:type="dxa"/>
          </w:tcPr>
          <w:p w14:paraId="3B6B506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Trường hợp đơn được chấp nhận hợp lệ, cơ quan quản lý nhà nước về quyền đối với giống cây trồng công bố đơn hợp lệ trên tạp chí chuyên ngành về giống cây trồng trong thời hạn chín mươi ngày, kể từ ngày đơn được chấp nhận.</w:t>
            </w:r>
          </w:p>
        </w:tc>
        <w:tc>
          <w:tcPr>
            <w:tcW w:w="4961" w:type="dxa"/>
          </w:tcPr>
          <w:p w14:paraId="1EF9765D"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1. Trường hợp đơn được chấp nhận hợp lệ, cơ quan quản lý nhà nước về quyền đối với giống cây trồng công bố đơn hợp lệ trên tạp chí chuyên ngành về giống cây trồng trong thời hạn chín mươi ngày, kể từ ngày đơn được chấp nhận.</w:t>
            </w:r>
          </w:p>
          <w:p w14:paraId="633E7E90"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1. Đơn đăng ký bảo hộ hợp lệ về hình thức được công bố trên Công báo về giống cây trồng trong thời hạn ba mươi ngày, kể từ ngày đơn được coi là hợp lệ.</w:t>
            </w:r>
          </w:p>
        </w:tc>
        <w:tc>
          <w:tcPr>
            <w:tcW w:w="4536" w:type="dxa"/>
          </w:tcPr>
          <w:p w14:paraId="6F8A3DAA" w14:textId="77777777" w:rsidR="00503246" w:rsidRPr="00BA40D0" w:rsidRDefault="00267543">
            <w:pPr>
              <w:pStyle w:val="NormalWeb"/>
              <w:shd w:val="clear" w:color="auto" w:fill="FFFFFF"/>
              <w:spacing w:before="40" w:beforeAutospacing="0" w:after="0" w:afterAutospacing="0"/>
              <w:jc w:val="both"/>
              <w:rPr>
                <w:color w:val="000000" w:themeColor="text1"/>
                <w:lang w:val="it-IT"/>
              </w:rPr>
            </w:pPr>
            <w:r w:rsidRPr="00BA40D0">
              <w:rPr>
                <w:color w:val="000000" w:themeColor="text1"/>
                <w:lang w:val="it-IT"/>
              </w:rPr>
              <w:t xml:space="preserve">- Sửa đổi hình thức công bố trên “tạp chí chuyên ngành về giống cây trồng” sang công bố trên “Công báo về giống cây trồng” nhằm thay đổi phương thức công bố theo hướng phù hợp hơn với tính chất pháp lý của thông tin về xác lập và bảo vệ quyền đối với giống cây trồng (như đã thuyết minh tại Điều 173). </w:t>
            </w:r>
          </w:p>
          <w:p w14:paraId="256C9D6B" w14:textId="77777777" w:rsidR="00503246" w:rsidRPr="00BA40D0" w:rsidRDefault="00267543">
            <w:pPr>
              <w:pStyle w:val="NormalWeb"/>
              <w:shd w:val="clear" w:color="auto" w:fill="FFFFFF"/>
              <w:spacing w:before="0" w:beforeAutospacing="0" w:after="40" w:afterAutospacing="0"/>
              <w:jc w:val="both"/>
              <w:rPr>
                <w:color w:val="000000" w:themeColor="text1"/>
                <w:lang w:val="it-IT"/>
              </w:rPr>
            </w:pPr>
            <w:r w:rsidRPr="00BA40D0">
              <w:rPr>
                <w:color w:val="000000" w:themeColor="text1"/>
                <w:lang w:val="it-IT"/>
              </w:rPr>
              <w:t xml:space="preserve">- Đồng thời đề xuất giảm thời hạn công bố xuống còn 30 ngày: Việc rút ngắn thời hạn công bố nhằm đẩy nhanh việc công khai thông tin, phù hợp với yêu cầu cải cách thủ tục hành chính, chuyển đổi số, đồng thời hài hòa với thời hạn công bố đang được áp dụng đối với các thủ tục xác lập quyền sở hữu công nghiệp. Công ước UPOV không quy định thời hạn cụ thể đối với việc công bố đơn mà yêu cầu các thành viên bảo đảm công chúng được tiếp cận thông tin về các giống đăng ký bảo hộ thông qua việc công bố định kỳ. Việc rút ngắn thời hạn công bố không làm giảm thời gian tiếp cận thông tin của tổ chức, cá nhân có liên quan mà giúp thông tin được công khai sớm hơn, tạo điều kiện để bên thứ ba theo dõi tình trạng pháp lý của đơn và kịp thời thực hiện quyền phản đối, khiếu nại và </w:t>
            </w:r>
            <w:r w:rsidRPr="00BA40D0">
              <w:rPr>
                <w:color w:val="000000" w:themeColor="text1"/>
                <w:lang w:val="it-IT"/>
              </w:rPr>
              <w:lastRenderedPageBreak/>
              <w:t>các quyền có liên quan. Đồng thời, do quyền tạm thời đối với giống cây trồng phát sinh từ thời điểm đơn đăng ký được công bố, nên việc công bố sớm hơn cũng tạo điều kiện để người đăng ký sớm được hưởng cơ chế bảo vệ quyền tạm thời trong thời gian đơn đang được tiếp tục thẩm định nội dung.</w:t>
            </w:r>
          </w:p>
          <w:p w14:paraId="52DFD2AF"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lang w:val="it-IT"/>
              </w:rPr>
            </w:pPr>
          </w:p>
          <w:p w14:paraId="6FA261FB" w14:textId="21AAD6CE"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1EFC89A3" w14:textId="77777777">
        <w:tc>
          <w:tcPr>
            <w:tcW w:w="4923" w:type="dxa"/>
          </w:tcPr>
          <w:p w14:paraId="6624628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 Nội dung công bố đơn gồm số đơn, ngày nộp đơn, đại diện (nếu có), người đăng ký, chủ sở hữu, tên giống cây trồng, tên loài cây trồng, ngày đơn được chấp nhận là đơn hợp lệ.</w:t>
            </w:r>
          </w:p>
        </w:tc>
        <w:tc>
          <w:tcPr>
            <w:tcW w:w="4961" w:type="dxa"/>
          </w:tcPr>
          <w:p w14:paraId="1CE3DAE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2. Nội dung công bố đơn </w:t>
            </w:r>
            <w:r w:rsidRPr="00BA40D0">
              <w:rPr>
                <w:rFonts w:ascii="Times New Roman" w:eastAsia="Times New Roman" w:hAnsi="Times New Roman" w:cs="Times New Roman"/>
                <w:b/>
                <w:bCs/>
                <w:i/>
                <w:iCs/>
                <w:color w:val="000000" w:themeColor="text1"/>
              </w:rPr>
              <w:t xml:space="preserve">đăng ký bảo hộ </w:t>
            </w:r>
            <w:r w:rsidRPr="00BA40D0">
              <w:rPr>
                <w:rFonts w:ascii="Times New Roman" w:eastAsia="Times New Roman" w:hAnsi="Times New Roman" w:cs="Times New Roman"/>
                <w:strike/>
                <w:color w:val="000000" w:themeColor="text1"/>
              </w:rPr>
              <w:t>gồm số đơn, ngày nộp đơn, đại diện (nếu có), người đăng ký, chủ sở hữu, tên giống cây trồng, tên loài cây trồng, ngày đơn được chấp nhận là đơn hợp lệ</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b/>
                <w:bCs/>
                <w:i/>
                <w:iCs/>
                <w:color w:val="000000" w:themeColor="text1"/>
              </w:rPr>
              <w:t>trên Công báo về giống cây trồng thực hiện theo quy định của Chính phủ.</w:t>
            </w:r>
          </w:p>
        </w:tc>
        <w:tc>
          <w:tcPr>
            <w:tcW w:w="4536" w:type="dxa"/>
          </w:tcPr>
          <w:p w14:paraId="6C51F3A2"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khoản 2 theo hướng giao Chính phủ quy định chi tiết nội dung công bố đơn đăng ký bảo hộ giống cây trồng trên Công báo về giống cây trồng nhằm bảo đảm tính linh hoạt trong việc xác định nội dung công bố, phù hợp với yêu cầu quản lý nhà nước và thực tiễn tổ chức thực hiện.</w:t>
            </w:r>
          </w:p>
        </w:tc>
      </w:tr>
      <w:tr w:rsidR="00BA40D0" w:rsidRPr="00BA40D0" w14:paraId="1B5A476F" w14:textId="77777777">
        <w:tc>
          <w:tcPr>
            <w:tcW w:w="4923" w:type="dxa"/>
          </w:tcPr>
          <w:p w14:paraId="5938E86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Điều 178. Thẩm định nội dung đơn đăng ký bảo hộ</w:t>
            </w:r>
            <w:r w:rsidRPr="00BA40D0">
              <w:rPr>
                <w:rFonts w:ascii="Times New Roman" w:eastAsia="Times New Roman" w:hAnsi="Times New Roman" w:cs="Times New Roman"/>
                <w:b/>
                <w:color w:val="000000" w:themeColor="text1"/>
              </w:rPr>
              <w:tab/>
            </w:r>
          </w:p>
        </w:tc>
        <w:tc>
          <w:tcPr>
            <w:tcW w:w="4961" w:type="dxa"/>
          </w:tcPr>
          <w:p w14:paraId="77380450"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178. Thẩm định nội dung đơn đăng ký bảo hộ</w:t>
            </w:r>
            <w:r w:rsidRPr="00BA40D0">
              <w:rPr>
                <w:rFonts w:ascii="Times New Roman" w:eastAsia="Times New Roman" w:hAnsi="Times New Roman" w:cs="Times New Roman"/>
                <w:b/>
                <w:color w:val="000000" w:themeColor="text1"/>
              </w:rPr>
              <w:tab/>
            </w:r>
          </w:p>
        </w:tc>
        <w:tc>
          <w:tcPr>
            <w:tcW w:w="4536" w:type="dxa"/>
          </w:tcPr>
          <w:p w14:paraId="3B0A75E9"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B32CF78" w14:textId="77777777">
        <w:tc>
          <w:tcPr>
            <w:tcW w:w="4923" w:type="dxa"/>
          </w:tcPr>
          <w:p w14:paraId="7173345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Cơ quan quản lý nhà nước về quyền đối với giống cây trồng thẩm định nội dung đối với đơn được chấp nhận là hợp lệ. Nội dung thẩm định bao gồm:</w:t>
            </w:r>
          </w:p>
          <w:p w14:paraId="6BAC686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Thẩm định tính mới và tên gọi phù hợp của giống cây trồng;</w:t>
            </w:r>
          </w:p>
          <w:p w14:paraId="502D9C5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Thẩm định kết quả khảo nghiệm kỹ thuật đối với giống cây trồng.</w:t>
            </w:r>
          </w:p>
        </w:tc>
        <w:tc>
          <w:tcPr>
            <w:tcW w:w="4961" w:type="dxa"/>
          </w:tcPr>
          <w:p w14:paraId="00D4AC7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79E96E2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5E0728D4" w14:textId="77777777">
        <w:tc>
          <w:tcPr>
            <w:tcW w:w="4923" w:type="dxa"/>
          </w:tcPr>
          <w:p w14:paraId="374DE7C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2. Khảo nghiệm kỹ thuật là tiến hành các thí nghiệm nhằm xác định tính khác biệt, tính đồng nhất và tính ổn định của giống cây trồng. </w:t>
            </w:r>
          </w:p>
          <w:p w14:paraId="42C1146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Việc khảo nghiệm kỹ thuật do cơ quan nhà nước có thẩm quyền hoặc tổ chức, cá nhân có năng lực tiến hành khảo nghiệm giống cây trồng thực hiện theo quy định của Bộ Nông nghiệp và Môi trường.</w:t>
            </w:r>
          </w:p>
          <w:p w14:paraId="0437C6B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Cơ quan quản lý nhà nước về quyền đối với giống cây trồng có thể sử dụng kết quả khảo nghiệm kỹ thuật đã có trước đó.</w:t>
            </w:r>
          </w:p>
        </w:tc>
        <w:tc>
          <w:tcPr>
            <w:tcW w:w="4961" w:type="dxa"/>
          </w:tcPr>
          <w:p w14:paraId="6ACE855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 xml:space="preserve">2. Khảo nghiệm kỹ thuật là tiến hành các </w:t>
            </w:r>
            <w:r w:rsidRPr="00BA40D0">
              <w:rPr>
                <w:rFonts w:ascii="Times New Roman" w:eastAsia="Times New Roman" w:hAnsi="Times New Roman" w:cs="Times New Roman"/>
                <w:strike/>
                <w:color w:val="000000" w:themeColor="text1"/>
              </w:rPr>
              <w:t>thí nghiệm</w:t>
            </w:r>
            <w:r w:rsidRPr="00BA40D0">
              <w:rPr>
                <w:rFonts w:ascii="Times New Roman" w:eastAsia="Times New Roman" w:hAnsi="Times New Roman" w:cs="Times New Roman"/>
                <w:b/>
                <w:bCs/>
                <w:i/>
                <w:iCs/>
                <w:color w:val="000000" w:themeColor="text1"/>
              </w:rPr>
              <w:t xml:space="preserve">biện pháp đánh giá cần thiết </w:t>
            </w:r>
            <w:r w:rsidRPr="00BA40D0">
              <w:rPr>
                <w:rFonts w:ascii="Times New Roman" w:eastAsia="Times New Roman" w:hAnsi="Times New Roman" w:cs="Times New Roman"/>
                <w:color w:val="000000" w:themeColor="text1"/>
              </w:rPr>
              <w:t xml:space="preserve">nhằm xác </w:t>
            </w:r>
            <w:r w:rsidRPr="00BA40D0">
              <w:rPr>
                <w:rFonts w:ascii="Times New Roman" w:eastAsia="Times New Roman" w:hAnsi="Times New Roman" w:cs="Times New Roman"/>
                <w:color w:val="000000" w:themeColor="text1"/>
              </w:rPr>
              <w:lastRenderedPageBreak/>
              <w:t xml:space="preserve">định tính khác biệt, tính đồng nhất và tính ổn định của giống cây trồng </w:t>
            </w:r>
            <w:r w:rsidRPr="00BA40D0">
              <w:rPr>
                <w:rFonts w:ascii="Times New Roman" w:eastAsia="Times New Roman" w:hAnsi="Times New Roman" w:cs="Times New Roman"/>
                <w:b/>
                <w:bCs/>
                <w:i/>
                <w:iCs/>
                <w:color w:val="000000" w:themeColor="text1"/>
              </w:rPr>
              <w:t>(khảo nghiệm DUS)</w:t>
            </w:r>
            <w:r w:rsidRPr="00BA40D0">
              <w:rPr>
                <w:rFonts w:ascii="Times New Roman" w:eastAsia="Times New Roman" w:hAnsi="Times New Roman" w:cs="Times New Roman"/>
                <w:color w:val="000000" w:themeColor="text1"/>
              </w:rPr>
              <w:t xml:space="preserve">. </w:t>
            </w:r>
          </w:p>
          <w:p w14:paraId="0FDF0D7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Việc khảo nghiệm kỹ thuật do</w:t>
            </w:r>
            <w:r w:rsidRPr="00BA40D0">
              <w:rPr>
                <w:rFonts w:ascii="Times New Roman" w:eastAsia="Times New Roman" w:hAnsi="Times New Roman" w:cs="Times New Roman"/>
                <w:b/>
                <w:i/>
                <w:iCs/>
                <w:color w:val="000000" w:themeColor="text1"/>
                <w:lang w:val="vi-VN"/>
              </w:rPr>
              <w:t xml:space="preserve"> người đăng ký tự thực hiện</w:t>
            </w:r>
            <w:r w:rsidRPr="00BA40D0">
              <w:rPr>
                <w:rFonts w:ascii="Times New Roman" w:eastAsia="Times New Roman" w:hAnsi="Times New Roman" w:cs="Times New Roman"/>
                <w:b/>
                <w:i/>
                <w:iCs/>
                <w:color w:val="000000" w:themeColor="text1"/>
              </w:rPr>
              <w:t xml:space="preserve"> hoặc</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strike/>
                <w:color w:val="000000" w:themeColor="text1"/>
              </w:rPr>
              <w:t>cơ quan nhà nước có thẩm quyền</w:t>
            </w:r>
            <w:r w:rsidRPr="00BA40D0">
              <w:rPr>
                <w:rFonts w:ascii="Times New Roman" w:eastAsia="Times New Roman" w:hAnsi="Times New Roman" w:cs="Times New Roman"/>
                <w:b/>
                <w:i/>
                <w:iCs/>
                <w:strike/>
                <w:color w:val="000000" w:themeColor="text1"/>
                <w:lang w:val="vi-VN"/>
              </w:rPr>
              <w:t xml:space="preserve"> </w:t>
            </w:r>
            <w:r w:rsidRPr="00BA40D0">
              <w:rPr>
                <w:rFonts w:ascii="Times New Roman" w:eastAsia="Times New Roman" w:hAnsi="Times New Roman" w:cs="Times New Roman"/>
                <w:strike/>
                <w:color w:val="000000" w:themeColor="text1"/>
              </w:rPr>
              <w:t>hoặc</w:t>
            </w:r>
            <w:r w:rsidRPr="00BA40D0">
              <w:rPr>
                <w:rFonts w:ascii="Times New Roman" w:eastAsia="Times New Roman" w:hAnsi="Times New Roman" w:cs="Times New Roman"/>
                <w:color w:val="000000" w:themeColor="text1"/>
              </w:rPr>
              <w:t xml:space="preserve"> tổ chức, cá nhân </w:t>
            </w:r>
            <w:r w:rsidRPr="00BA40D0">
              <w:rPr>
                <w:rFonts w:ascii="Times New Roman" w:eastAsia="Times New Roman" w:hAnsi="Times New Roman" w:cs="Times New Roman"/>
                <w:b/>
                <w:i/>
                <w:iCs/>
                <w:color w:val="000000" w:themeColor="text1"/>
              </w:rPr>
              <w:t>khác</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strike/>
                <w:color w:val="000000" w:themeColor="text1"/>
              </w:rPr>
              <w:t>có năng lực tiến hành khảo nghiệm giống cây trồng</w:t>
            </w:r>
            <w:r w:rsidRPr="00BA40D0">
              <w:rPr>
                <w:rFonts w:ascii="Times New Roman" w:eastAsia="Times New Roman" w:hAnsi="Times New Roman" w:cs="Times New Roman"/>
                <w:color w:val="000000" w:themeColor="text1"/>
              </w:rPr>
              <w:t xml:space="preserve"> thực hiện</w:t>
            </w:r>
            <w:r w:rsidRPr="00BA40D0">
              <w:rPr>
                <w:rFonts w:ascii="Times New Roman" w:eastAsia="Times New Roman" w:hAnsi="Times New Roman" w:cs="Times New Roman"/>
                <w:strike/>
                <w:color w:val="000000" w:themeColor="text1"/>
              </w:rPr>
              <w:t xml:space="preserve">theo quy định của Bộ Nông nghiệp và Môi trường </w:t>
            </w:r>
            <w:r w:rsidRPr="00BA40D0">
              <w:rPr>
                <w:rFonts w:ascii="Times New Roman" w:eastAsia="Times New Roman" w:hAnsi="Times New Roman" w:cs="Times New Roman"/>
                <w:bCs/>
                <w:strike/>
                <w:color w:val="000000" w:themeColor="text1"/>
                <w:lang w:val="vi-VN"/>
              </w:rPr>
              <w:t>Chính phủ</w:t>
            </w:r>
            <w:r w:rsidRPr="00BA40D0">
              <w:rPr>
                <w:rFonts w:ascii="Times New Roman" w:eastAsia="Times New Roman" w:hAnsi="Times New Roman" w:cs="Times New Roman"/>
                <w:b/>
                <w:bCs/>
                <w:i/>
                <w:iCs/>
                <w:color w:val="000000" w:themeColor="text1"/>
              </w:rPr>
              <w:t>hoặc cơ quan nhà nước có thẩm quyền</w:t>
            </w:r>
            <w:r w:rsidRPr="00BA40D0">
              <w:rPr>
                <w:rFonts w:ascii="Times New Roman" w:eastAsia="Times New Roman" w:hAnsi="Times New Roman" w:cs="Times New Roman"/>
                <w:b/>
                <w:bCs/>
                <w:i/>
                <w:iCs/>
                <w:color w:val="000000" w:themeColor="text1"/>
                <w:lang w:val="vi-VN"/>
              </w:rPr>
              <w:t xml:space="preserve"> </w:t>
            </w:r>
            <w:r w:rsidRPr="00BA40D0">
              <w:rPr>
                <w:rFonts w:ascii="Times New Roman" w:eastAsia="Times New Roman" w:hAnsi="Times New Roman" w:cs="Times New Roman"/>
                <w:b/>
                <w:bCs/>
                <w:i/>
                <w:iCs/>
                <w:color w:val="000000" w:themeColor="text1"/>
              </w:rPr>
              <w:t>thực hiện, bao gồm cả cơ quan bảo hộ giống cây trồng của thành viên Công ước về Bảo hộ giống cây trồng mới</w:t>
            </w:r>
            <w:r w:rsidRPr="00BA40D0">
              <w:rPr>
                <w:rFonts w:ascii="Times New Roman" w:eastAsia="Times New Roman" w:hAnsi="Times New Roman" w:cs="Times New Roman"/>
                <w:b/>
                <w:bCs/>
                <w:i/>
                <w:iCs/>
                <w:color w:val="000000" w:themeColor="text1"/>
                <w:lang w:val="vi-VN"/>
              </w:rPr>
              <w:t>.</w:t>
            </w:r>
          </w:p>
          <w:p w14:paraId="7B1354A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Cơ quan quản lý nhà nước về quyền đối với giống cây trồng có thể sử dụng kết quả khảo nghiệm kỹ thuật đã có trước đó.</w:t>
            </w:r>
          </w:p>
        </w:tc>
        <w:tc>
          <w:tcPr>
            <w:tcW w:w="4536" w:type="dxa"/>
            <w:vMerge w:val="restart"/>
          </w:tcPr>
          <w:p w14:paraId="2FA2A79D"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 xml:space="preserve">Sửa đổi khoản 2 Điều 178 nhằm đổi mới cơ chế khảo nghiệm kỹ thuật theo hướng linh hoạt, đa dạng hóa hình thức thực hiện và tăng </w:t>
            </w:r>
            <w:r w:rsidRPr="00BA40D0">
              <w:rPr>
                <w:rFonts w:ascii="Times New Roman" w:eastAsia="Times New Roman" w:hAnsi="Times New Roman" w:cs="Times New Roman"/>
                <w:color w:val="000000" w:themeColor="text1"/>
              </w:rPr>
              <w:lastRenderedPageBreak/>
              <w:t>cường sử dụng kết quả khảo nghiệm DUS đã có, phù hợp với nguyên tắc của Công ước UPOV, chủ trương cắt giảm điều kiện kinh doanh và yêu cầu thực tiễn trong xác lập quyền đối với giống cây trồng.</w:t>
            </w:r>
          </w:p>
          <w:p w14:paraId="0E050715"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Quy định hiện hành cho phép khảo nghiệm kỹ thuật được thực hiện bởi cơ quan nhà nước có thẩm quyền hoặc tổ chức, cá nhân có năng lực thực hiện khảo nghiệm. Tuy nhiên, theo Nghị quyết số 66.19/2026/NQ-CP ngày 18/5/2026 của Chính phủ, điều kiện cấp Quyết định công nhận tổ chức khảo nghiệm giống cây trồng và thủ tục cấp, cấp lại Quyết định công nhận tổ chức khảo nghiệm giống cây trồng đã được bãi bỏ, đồng thời chuyển phương thức quản lý sang áp dụng TCVN, hướng dẫn kỹ thuật của UPOV hoặc cơ quan có thẩm quyền và trách nhiệm của tổ chức, cá nhân đối với kết quả khảo nghiệm. Do đó, việc tiếp tục quy định chủ thể thực hiện khảo nghiệm phải là “tổ chức, cá nhân có năng lực” gắn với cơ chế công nhận như trước đây không còn phù hợp.</w:t>
            </w:r>
          </w:p>
          <w:p w14:paraId="71ED6A52"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Bên cạnh đó, theo Điều 12 Công ước UPOV 1991, trong quá trình thẩm định, cơ quan có thẩm quyền có thể trực tiếp thực hiện khảo nghiệm, yêu cầu tổ chức, cá nhân khác thực hiện hoặc sử dụng kết quả khảo nghiệm đã được thực hiện trước đó. Trên cơ sở đó, dự thảo Luật quy định theo hướng mở, cho phép khảo nghiệm kỹ thuật do người đăng ký tự </w:t>
            </w:r>
            <w:r w:rsidRPr="00BA40D0">
              <w:rPr>
                <w:rFonts w:ascii="Times New Roman" w:eastAsia="Times New Roman" w:hAnsi="Times New Roman" w:cs="Times New Roman"/>
                <w:color w:val="000000" w:themeColor="text1"/>
              </w:rPr>
              <w:lastRenderedPageBreak/>
              <w:t>thực hiện, tổ chức, cá nhân khác thực hiện hoặc cơ quan nhà nước có thẩm quyền thực hiện, bao gồm cơ quan bảo hộ giống cây trồng của thành viên Công ước UPOV. Quy định này nhằm tạo điều kiện lựa chọn hình thức khảo nghiệm phù hợp, huy động năng lực, cơ sở vật chất và chuyên môn hiện có, đồng thời giảm các điều kiện, thủ tục không cần thiết đối với hoạt động khảo nghiệm.</w:t>
            </w:r>
          </w:p>
          <w:p w14:paraId="3C14C6BF"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Luật quy định nguyên tắc, hình thức thực hiện khảo nghiệm và việc sử dụng kết quả khảo nghiệm đã có; các nội dung mang tính kỹ thuật, nghiệp vụ như việc thực hiện khảo nghiệm, tài liệu hướng dẫn kỹ thuật, điều kiện sử dụng kết quả khảo nghiệm đã có và việc thẩm định kết quả được giao Chính phủ quy định chi tiết.</w:t>
            </w:r>
          </w:p>
          <w:p w14:paraId="04196A14" w14:textId="3AABBE50"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73490C24" w14:textId="77777777">
        <w:tc>
          <w:tcPr>
            <w:tcW w:w="4923" w:type="dxa"/>
          </w:tcPr>
          <w:p w14:paraId="53B6234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3. Thời hạn thẩm định kết quả khảo nghiệm kỹ thuật là sáu mươi ngày, kể từ ngày nhận được kết quả khảo nghiệm kỹ thuật.</w:t>
            </w:r>
          </w:p>
        </w:tc>
        <w:tc>
          <w:tcPr>
            <w:tcW w:w="4961" w:type="dxa"/>
          </w:tcPr>
          <w:p w14:paraId="0D73777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w:t>
            </w:r>
            <w:r w:rsidRPr="00BA40D0">
              <w:rPr>
                <w:rFonts w:ascii="Times New Roman" w:eastAsia="Times New Roman" w:hAnsi="Times New Roman" w:cs="Times New Roman"/>
                <w:b/>
                <w:iCs/>
                <w:color w:val="000000" w:themeColor="text1"/>
              </w:rPr>
              <w:t xml:space="preserve"> </w:t>
            </w:r>
            <w:r w:rsidRPr="00BA40D0">
              <w:rPr>
                <w:rFonts w:ascii="Times New Roman" w:eastAsia="Times New Roman" w:hAnsi="Times New Roman" w:cs="Times New Roman"/>
                <w:strike/>
                <w:color w:val="000000" w:themeColor="text1"/>
              </w:rPr>
              <w:t>Thời hạn thẩm định kết quả khảo nghiệm kỹ thuật là sáu mươi ngày, kể từ ngày nhận được kết quả khảo nghiệm kỹ thuật</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b/>
                <w:bCs/>
                <w:i/>
                <w:iCs/>
                <w:color w:val="000000" w:themeColor="text1"/>
                <w:lang w:val="vi-VN"/>
              </w:rPr>
              <w:t xml:space="preserve">Chính phủ quy định </w:t>
            </w:r>
            <w:r w:rsidRPr="00BA40D0">
              <w:rPr>
                <w:rFonts w:ascii="Times New Roman" w:eastAsia="Times New Roman" w:hAnsi="Times New Roman" w:cs="Times New Roman"/>
                <w:b/>
                <w:bCs/>
                <w:i/>
                <w:iCs/>
                <w:color w:val="000000" w:themeColor="text1"/>
              </w:rPr>
              <w:t>chi tiết việc khảo nghiệm kỹ thuật, sử dụng kết quả khảo nghiệm kỹ thuật và việc</w:t>
            </w:r>
            <w:r w:rsidRPr="00BA40D0">
              <w:rPr>
                <w:rFonts w:ascii="Times New Roman" w:eastAsia="Times New Roman" w:hAnsi="Times New Roman" w:cs="Times New Roman"/>
                <w:b/>
                <w:bCs/>
                <w:i/>
                <w:iCs/>
                <w:color w:val="000000" w:themeColor="text1"/>
                <w:lang w:val="vi-VN"/>
              </w:rPr>
              <w:t xml:space="preserve"> thẩm định nội dung đơn đăng ký bảo hộ giống cây trồng.</w:t>
            </w:r>
          </w:p>
        </w:tc>
        <w:tc>
          <w:tcPr>
            <w:tcW w:w="4536" w:type="dxa"/>
            <w:vMerge/>
          </w:tcPr>
          <w:p w14:paraId="21B9E313"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49B4EFF4" w14:textId="77777777">
        <w:tc>
          <w:tcPr>
            <w:tcW w:w="4923" w:type="dxa"/>
          </w:tcPr>
          <w:p w14:paraId="5463C2C7"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bookmarkStart w:id="28" w:name="_Toc336442326"/>
            <w:bookmarkStart w:id="29" w:name="_Toc336501474"/>
            <w:bookmarkStart w:id="30" w:name="_Toc336503462"/>
            <w:bookmarkStart w:id="31" w:name="_Toc336503807"/>
            <w:bookmarkStart w:id="32" w:name="_Toc106641027"/>
            <w:bookmarkStart w:id="33" w:name="_Toc115649804"/>
            <w:r w:rsidRPr="00BA40D0">
              <w:rPr>
                <w:rFonts w:ascii="Times New Roman" w:eastAsia="Times New Roman" w:hAnsi="Times New Roman" w:cs="Times New Roman"/>
                <w:b/>
                <w:color w:val="000000" w:themeColor="text1"/>
              </w:rPr>
              <w:lastRenderedPageBreak/>
              <w:t>Điều 179. Sửa đổi, bổ sung đơn đăng ký bảo hộ</w:t>
            </w:r>
            <w:bookmarkEnd w:id="28"/>
            <w:bookmarkEnd w:id="29"/>
            <w:bookmarkEnd w:id="30"/>
            <w:bookmarkEnd w:id="31"/>
            <w:bookmarkEnd w:id="32"/>
            <w:bookmarkEnd w:id="33"/>
          </w:p>
        </w:tc>
        <w:tc>
          <w:tcPr>
            <w:tcW w:w="4961" w:type="dxa"/>
          </w:tcPr>
          <w:p w14:paraId="1234365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Điều 179. Sửa đổi, bổ sung đơn đăng ký bảo hộ</w:t>
            </w:r>
          </w:p>
        </w:tc>
        <w:tc>
          <w:tcPr>
            <w:tcW w:w="4536" w:type="dxa"/>
          </w:tcPr>
          <w:p w14:paraId="78149C16"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13B86A20" w14:textId="77777777">
        <w:tc>
          <w:tcPr>
            <w:tcW w:w="4923" w:type="dxa"/>
          </w:tcPr>
          <w:p w14:paraId="3D66362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Trước khi cơ quan quản lý nhà nước về quyền đối với giống cây trồng thông báo từ chối cấp Bằng bảo hộ giống cây trồng hoặc quyết định cấp Bằng bảo hộ giống cây trồng,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có các quyền sau đây:</w:t>
            </w:r>
          </w:p>
          <w:p w14:paraId="1537B60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Sửa đổi, bổ sung đơn nhưng không được làm thay đổi bản chất đơn đăng ký bảo hộ;</w:t>
            </w:r>
          </w:p>
          <w:p w14:paraId="154F182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Yêu cầu ghi nhận thay đổi tên, địa chỉ của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w:t>
            </w:r>
          </w:p>
          <w:p w14:paraId="165ED32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c) Yêu cầu ghi nhận thay đổi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do chuyển nhượng đơn theo hợp đồng hoặc thừa kế, kế thừa;</w:t>
            </w:r>
          </w:p>
        </w:tc>
        <w:tc>
          <w:tcPr>
            <w:tcW w:w="4961" w:type="dxa"/>
          </w:tcPr>
          <w:p w14:paraId="4ED68AF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Giữ nguyên</w:t>
            </w:r>
          </w:p>
        </w:tc>
        <w:tc>
          <w:tcPr>
            <w:tcW w:w="4536" w:type="dxa"/>
          </w:tcPr>
          <w:p w14:paraId="179D970C"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44E30B0" w14:textId="77777777">
        <w:tc>
          <w:tcPr>
            <w:tcW w:w="4923" w:type="dxa"/>
          </w:tcPr>
          <w:p w14:paraId="24CBFB0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 Người yêu cầu thực hiện các thủ tục quy định tại khoản 1 Điều này phải nộp phí, lệ phí.</w:t>
            </w:r>
          </w:p>
        </w:tc>
        <w:tc>
          <w:tcPr>
            <w:tcW w:w="4961" w:type="dxa"/>
          </w:tcPr>
          <w:p w14:paraId="406A3E9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46F01B25"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A0D93C4" w14:textId="77777777">
        <w:tc>
          <w:tcPr>
            <w:tcW w:w="4923" w:type="dxa"/>
          </w:tcPr>
          <w:p w14:paraId="46AE8609"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c>
          <w:tcPr>
            <w:tcW w:w="4961" w:type="dxa"/>
          </w:tcPr>
          <w:p w14:paraId="3058E6A8" w14:textId="77777777" w:rsidR="00503246" w:rsidRPr="00BA40D0" w:rsidRDefault="00267543">
            <w:pPr>
              <w:spacing w:before="60" w:after="60" w:line="240" w:lineRule="auto"/>
              <w:jc w:val="both"/>
              <w:rPr>
                <w:rFonts w:ascii="Times New Roman" w:eastAsia="Times New Roman" w:hAnsi="Times New Roman" w:cs="Times New Roman"/>
                <w:b/>
                <w:i/>
                <w:iCs/>
                <w:color w:val="000000" w:themeColor="text1"/>
                <w:lang w:val="vi-VN"/>
              </w:rPr>
            </w:pPr>
            <w:r w:rsidRPr="00BA40D0">
              <w:rPr>
                <w:rFonts w:ascii="Times New Roman" w:eastAsia="Times New Roman" w:hAnsi="Times New Roman" w:cs="Times New Roman"/>
                <w:b/>
                <w:i/>
                <w:iCs/>
                <w:color w:val="000000" w:themeColor="text1"/>
                <w:lang w:val="vi-VN"/>
              </w:rPr>
              <w:t>3. Chính phủ quy định chi tiết Điều này.</w:t>
            </w:r>
          </w:p>
        </w:tc>
        <w:tc>
          <w:tcPr>
            <w:tcW w:w="4536" w:type="dxa"/>
          </w:tcPr>
          <w:p w14:paraId="5D957746"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 Bổ sung khoản 3 vào sau khoản 2 giao Chính phủ quy định chi tiết nhằm tạo cơ sở pháp lý để làm rõ khái niệm “Sửa đổi, bổ sung đơn nhưng không được làm thay đổi bản chất đơn đăng ký bảo hộ” đồng thời quy định cụ thể trình tự, nội dung và cách thức thực hiện việc sửa đổi, bổ sung đơn đăng ký bảo hộ giống cây trồng</w:t>
            </w:r>
          </w:p>
        </w:tc>
      </w:tr>
      <w:tr w:rsidR="00BA40D0" w:rsidRPr="00BA40D0" w14:paraId="72F34F68" w14:textId="77777777">
        <w:tc>
          <w:tcPr>
            <w:tcW w:w="4923" w:type="dxa"/>
          </w:tcPr>
          <w:p w14:paraId="05EAB028"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Điều 181. Ý kiến của người thứ ba về việc cấp Bằng bảo hộ giống cây trồng</w:t>
            </w:r>
          </w:p>
        </w:tc>
        <w:tc>
          <w:tcPr>
            <w:tcW w:w="4961" w:type="dxa"/>
          </w:tcPr>
          <w:p w14:paraId="17749BDE"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Điều 181. Ý kiến của người thứ ba về việc cấp Bằng bảo hộ giống cây trồng</w:t>
            </w:r>
          </w:p>
        </w:tc>
        <w:tc>
          <w:tcPr>
            <w:tcW w:w="4536" w:type="dxa"/>
          </w:tcPr>
          <w:p w14:paraId="6F8C4300"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01D287BE" w14:textId="77777777">
        <w:tc>
          <w:tcPr>
            <w:tcW w:w="4923" w:type="dxa"/>
          </w:tcPr>
          <w:p w14:paraId="7B3A4516" w14:textId="77777777" w:rsidR="00503246" w:rsidRPr="00BA40D0" w:rsidRDefault="00267543">
            <w:pPr>
              <w:spacing w:before="60" w:after="60" w:line="240" w:lineRule="auto"/>
              <w:jc w:val="both"/>
              <w:rPr>
                <w:rFonts w:ascii="Times New Roman" w:eastAsia="Times New Roman" w:hAnsi="Times New Roman" w:cs="Times New Roman"/>
                <w:bCs/>
                <w:color w:val="000000" w:themeColor="text1"/>
              </w:rPr>
            </w:pPr>
            <w:r w:rsidRPr="00BA40D0">
              <w:rPr>
                <w:rFonts w:ascii="Times New Roman" w:eastAsia="Times New Roman" w:hAnsi="Times New Roman" w:cs="Times New Roman"/>
                <w:bCs/>
                <w:color w:val="000000" w:themeColor="text1"/>
              </w:rPr>
              <w:t>Kể từ ngày đơn đăng ký bảo hộ giống cây trồng được công bố trên tạp chí chuyên ngành về giống cây trồng đến trước khi ra quyết định cấp Bằng bảo hộ giống cây trồng, bất kỳ người thứ ba nào cũng có quyền có ý kiến về việc cấp Bằng bảo hộ giống cây trồng với cơ quan quản lý nhà nước về quyền đối với giống cây trồng. Ý kiến phải được lập thành văn bản và kèm theo các tài liệu, chứng cứ chứng minh.</w:t>
            </w:r>
          </w:p>
        </w:tc>
        <w:tc>
          <w:tcPr>
            <w:tcW w:w="4961" w:type="dxa"/>
          </w:tcPr>
          <w:p w14:paraId="05794406" w14:textId="77777777" w:rsidR="00503246" w:rsidRPr="00BA40D0" w:rsidRDefault="00267543">
            <w:pPr>
              <w:spacing w:before="60" w:after="60" w:line="240" w:lineRule="auto"/>
              <w:jc w:val="both"/>
              <w:rPr>
                <w:rFonts w:ascii="Times New Roman" w:eastAsia="Times New Roman" w:hAnsi="Times New Roman" w:cs="Times New Roman"/>
                <w:bCs/>
                <w:color w:val="000000" w:themeColor="text1"/>
              </w:rPr>
            </w:pPr>
            <w:r w:rsidRPr="00BA40D0">
              <w:rPr>
                <w:rFonts w:ascii="Times New Roman" w:eastAsia="Times New Roman" w:hAnsi="Times New Roman" w:cs="Times New Roman"/>
                <w:bCs/>
                <w:color w:val="000000" w:themeColor="text1"/>
              </w:rPr>
              <w:t xml:space="preserve">Kể từ ngày đơn đăng ký bảo hộ giống cây trồng được công bố trên </w:t>
            </w:r>
            <w:r w:rsidRPr="00BA40D0">
              <w:rPr>
                <w:rFonts w:ascii="Times New Roman" w:eastAsia="Times New Roman" w:hAnsi="Times New Roman" w:cs="Times New Roman"/>
                <w:bCs/>
                <w:strike/>
                <w:color w:val="000000" w:themeColor="text1"/>
              </w:rPr>
              <w:t>tạp chí chuyên ngành về giống cây trồng</w:t>
            </w:r>
            <w:r w:rsidRPr="00BA40D0">
              <w:rPr>
                <w:rFonts w:ascii="Times New Roman" w:eastAsia="Times New Roman" w:hAnsi="Times New Roman" w:cs="Times New Roman"/>
                <w:bCs/>
                <w:color w:val="000000" w:themeColor="text1"/>
              </w:rPr>
              <w:t xml:space="preserve"> </w:t>
            </w:r>
            <w:r w:rsidRPr="00BA40D0">
              <w:rPr>
                <w:rFonts w:ascii="Times New Roman" w:eastAsia="Times New Roman" w:hAnsi="Times New Roman" w:cs="Times New Roman"/>
                <w:b/>
                <w:i/>
                <w:iCs/>
                <w:color w:val="000000" w:themeColor="text1"/>
              </w:rPr>
              <w:t xml:space="preserve">Công báo về giống cây trồng </w:t>
            </w:r>
            <w:r w:rsidRPr="00BA40D0">
              <w:rPr>
                <w:rFonts w:ascii="Times New Roman" w:eastAsia="Times New Roman" w:hAnsi="Times New Roman" w:cs="Times New Roman"/>
                <w:bCs/>
                <w:color w:val="000000" w:themeColor="text1"/>
              </w:rPr>
              <w:t>đến trước khi ra quyết định cấp Bằng bảo hộ giống cây trồng, bất kỳ người thứ ba nào cũng có quyền có ý kiến về việc cấp Bằng bảo hộ giống cây trồng với cơ quan quản lý nhà nước về quyền đối với giống cây trồng. Ý kiến phải được lập thành văn bản và kèm theo các tài liệu, chứng cứ chứng minh.</w:t>
            </w:r>
          </w:p>
        </w:tc>
        <w:tc>
          <w:tcPr>
            <w:tcW w:w="4536" w:type="dxa"/>
          </w:tcPr>
          <w:p w14:paraId="1833445E" w14:textId="3E00DF28"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Sửa đổi quy định về hình thức công bố từ "tạp chí chuyên ngành về giống cây trồng" thành "công báo về giống cây trồng" với lý do như đã thuyết minh tại Điều 177. </w:t>
            </w:r>
          </w:p>
        </w:tc>
      </w:tr>
      <w:tr w:rsidR="00BA40D0" w:rsidRPr="00BA40D0" w14:paraId="53FBED75" w14:textId="77777777">
        <w:tc>
          <w:tcPr>
            <w:tcW w:w="4923" w:type="dxa"/>
          </w:tcPr>
          <w:p w14:paraId="04AE4357"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bookmarkStart w:id="34" w:name="_Toc336442329"/>
            <w:bookmarkStart w:id="35" w:name="_Toc336501477"/>
            <w:bookmarkStart w:id="36" w:name="_Toc336503465"/>
            <w:bookmarkStart w:id="37" w:name="_Toc336503810"/>
            <w:bookmarkStart w:id="38" w:name="_Toc106641030"/>
            <w:bookmarkStart w:id="39" w:name="_Toc115649807"/>
            <w:r w:rsidRPr="00BA40D0">
              <w:rPr>
                <w:rFonts w:ascii="Times New Roman" w:eastAsia="Times New Roman" w:hAnsi="Times New Roman" w:cs="Times New Roman"/>
                <w:b/>
                <w:color w:val="000000" w:themeColor="text1"/>
              </w:rPr>
              <w:t>Điều 182. Từ chối cấp Bằng bảo hộ giống cây trồng</w:t>
            </w:r>
            <w:bookmarkEnd w:id="34"/>
            <w:bookmarkEnd w:id="35"/>
            <w:bookmarkEnd w:id="36"/>
            <w:bookmarkEnd w:id="37"/>
            <w:bookmarkEnd w:id="38"/>
            <w:bookmarkEnd w:id="39"/>
          </w:p>
        </w:tc>
        <w:tc>
          <w:tcPr>
            <w:tcW w:w="4961" w:type="dxa"/>
          </w:tcPr>
          <w:p w14:paraId="2C5A26BE"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182. Từ chối cấp Bằng bảo hộ giống cây trồng</w:t>
            </w:r>
          </w:p>
        </w:tc>
        <w:tc>
          <w:tcPr>
            <w:tcW w:w="4536" w:type="dxa"/>
          </w:tcPr>
          <w:p w14:paraId="198D1218"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72ECB9E8" w14:textId="77777777">
        <w:tc>
          <w:tcPr>
            <w:tcW w:w="4923" w:type="dxa"/>
          </w:tcPr>
          <w:p w14:paraId="02D195A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Đơn đăng ký bảo hộ bị từ chối cấp Bằng bảo hộ giống cây trồng trong trường hợp giống cây trồng </w:t>
            </w:r>
            <w:r w:rsidRPr="00BA40D0">
              <w:rPr>
                <w:rFonts w:ascii="Times New Roman" w:eastAsia="Times New Roman" w:hAnsi="Times New Roman" w:cs="Times New Roman"/>
                <w:color w:val="000000" w:themeColor="text1"/>
              </w:rPr>
              <w:lastRenderedPageBreak/>
              <w:t>không đáp ứng được các điều kiện quy định tại Điều 176 và Điều 178 của Luật này. Trong trường hợp từ chối cấp Bằng bảo hộ giống cây trồng, cơ quan quản lý nhà nước về quyền đối với giống cây trồng thực hiện các thủ tục sau đây:</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D681338" w14:textId="77777777" w:rsidR="00503246" w:rsidRPr="00BA40D0" w:rsidRDefault="00267543">
            <w:pPr>
              <w:spacing w:before="60" w:after="60" w:line="240" w:lineRule="auto"/>
              <w:jc w:val="both"/>
              <w:rPr>
                <w:rFonts w:ascii="Times New Roman" w:eastAsia="Times New Roman" w:hAnsi="Times New Roman" w:cs="Times New Roman"/>
                <w:b/>
                <w:i/>
                <w:iCs/>
                <w:color w:val="000000" w:themeColor="text1"/>
              </w:rPr>
            </w:pPr>
            <w:r w:rsidRPr="00BA40D0">
              <w:rPr>
                <w:rFonts w:ascii="Times New Roman" w:eastAsia="Times New Roman" w:hAnsi="Times New Roman" w:cs="Times New Roman"/>
                <w:iCs/>
                <w:color w:val="000000" w:themeColor="text1"/>
              </w:rPr>
              <w:lastRenderedPageBreak/>
              <w:t>Đơn đăng ký bảo hộ bị</w:t>
            </w:r>
            <w:r w:rsidRPr="00BA40D0">
              <w:rPr>
                <w:rFonts w:ascii="Times New Roman" w:eastAsia="Times New Roman" w:hAnsi="Times New Roman" w:cs="Times New Roman"/>
                <w:iCs/>
                <w:color w:val="000000" w:themeColor="text1"/>
                <w:lang w:val="vi-VN"/>
              </w:rPr>
              <w:t xml:space="preserve"> từ chối cấp Bằng bảo hộ giống cây trồng trong</w:t>
            </w:r>
            <w:r w:rsidRPr="00BA40D0">
              <w:rPr>
                <w:rFonts w:ascii="Times New Roman" w:eastAsia="Times New Roman" w:hAnsi="Times New Roman" w:cs="Times New Roman"/>
                <w:b/>
                <w:i/>
                <w:iCs/>
                <w:color w:val="000000" w:themeColor="text1"/>
                <w:lang w:val="vi-VN"/>
              </w:rPr>
              <w:t xml:space="preserve"> các </w:t>
            </w:r>
            <w:r w:rsidRPr="00BA40D0">
              <w:rPr>
                <w:rFonts w:ascii="Times New Roman" w:eastAsia="Times New Roman" w:hAnsi="Times New Roman" w:cs="Times New Roman"/>
                <w:iCs/>
                <w:color w:val="000000" w:themeColor="text1"/>
                <w:lang w:val="vi-VN"/>
              </w:rPr>
              <w:t>trường hợp</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strike/>
                <w:color w:val="000000" w:themeColor="text1"/>
              </w:rPr>
              <w:t xml:space="preserve">giống cây </w:t>
            </w:r>
            <w:r w:rsidRPr="00BA40D0">
              <w:rPr>
                <w:rFonts w:ascii="Times New Roman" w:eastAsia="Times New Roman" w:hAnsi="Times New Roman" w:cs="Times New Roman"/>
                <w:strike/>
                <w:color w:val="000000" w:themeColor="text1"/>
              </w:rPr>
              <w:lastRenderedPageBreak/>
              <w:t>trồng không đáp ứng được các điều kiện quy định tại Điều 176 và Điều 178 của Luật này. Trong trường hợp từ chối cấp Bằng bảo hộ giống cây trồng, cơ quan quản lý nhà nước về quyền đối với giống cây trồng thực hiện các thủ tục</w:t>
            </w:r>
            <w:r w:rsidRPr="00BA40D0">
              <w:rPr>
                <w:rFonts w:ascii="Times New Roman" w:eastAsia="Times New Roman" w:hAnsi="Times New Roman" w:cs="Times New Roman"/>
                <w:b/>
                <w:i/>
                <w:iCs/>
                <w:color w:val="000000" w:themeColor="text1"/>
                <w:lang w:val="vi-VN"/>
              </w:rPr>
              <w:t xml:space="preserve"> </w:t>
            </w:r>
            <w:r w:rsidRPr="00BA40D0">
              <w:rPr>
                <w:rFonts w:ascii="Times New Roman" w:eastAsia="Times New Roman" w:hAnsi="Times New Roman" w:cs="Times New Roman"/>
                <w:iCs/>
                <w:color w:val="000000" w:themeColor="text1"/>
                <w:lang w:val="vi-VN"/>
              </w:rPr>
              <w:t>sau đây</w:t>
            </w:r>
            <w:r w:rsidRPr="00BA40D0">
              <w:rPr>
                <w:rFonts w:ascii="Times New Roman" w:eastAsia="Times New Roman" w:hAnsi="Times New Roman" w:cs="Times New Roman"/>
                <w:iCs/>
                <w:color w:val="000000" w:themeColor="text1"/>
              </w:rPr>
              <w:t>:</w:t>
            </w:r>
          </w:p>
        </w:tc>
        <w:tc>
          <w:tcPr>
            <w:tcW w:w="4536" w:type="dxa"/>
            <w:vMerge w:val="restart"/>
          </w:tcPr>
          <w:p w14:paraId="5CB63179" w14:textId="6EA0DC59"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 xml:space="preserve"> Sửa đổi điều 182 theo hướng chỉ quy định về các trường hợp từ chối cấp Bằng bảo hộ </w:t>
            </w:r>
            <w:r w:rsidRPr="00BA40D0">
              <w:rPr>
                <w:rFonts w:ascii="Times New Roman" w:eastAsia="Times New Roman" w:hAnsi="Times New Roman" w:cs="Times New Roman"/>
                <w:color w:val="000000" w:themeColor="text1"/>
              </w:rPr>
              <w:lastRenderedPageBreak/>
              <w:t>giống cây trồng nhằm bảo đảm minh bạch, thống nhất trong quá trình áp dụng, đồng thời bãi bỏ các quy định về thông báo kết quả thẩm định nội dung do nội dung này đã được giao Chính phủ quy định chi tiết tại Điều 178. Theo đó, Nghị định 79/2023/NĐ-CP sẽ quy định về trình tự, thủ tục (cách thức ban hành thông báo) liên quan đến thẩm định nội dung.</w:t>
            </w:r>
          </w:p>
          <w:p w14:paraId="5494CF8A" w14:textId="2C323DD1"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p w14:paraId="6BEAC024" w14:textId="1E7A3B9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p w14:paraId="27DA0B35" w14:textId="6A46D380"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79E343E0" w14:textId="77777777">
        <w:tc>
          <w:tcPr>
            <w:tcW w:w="4923" w:type="dxa"/>
          </w:tcPr>
          <w:p w14:paraId="7EA4E85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1. Thông báo về dự định từ chối cấp Bằng bảo hộ giống cây trồng, trong đó phải nêu rõ lý do và ấn định thời hạn để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khắc phục thiếu sót hoặc có ý kiến phản đối dự định từ chối;</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771997D"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1. Thông báo về dự định từ chối cấp Bằng bảo hộ giống cây trồng, trong đó phải nêu rõ lý do và ấn định thời hạn để người đăng k</w:t>
            </w:r>
            <w:r w:rsidRPr="00BA40D0">
              <w:rPr>
                <w:rFonts w:ascii="Times New Roman" w:eastAsia="Times New Roman" w:hAnsi="Times New Roman" w:cs="Times New Roman"/>
                <w:strike/>
                <w:color w:val="000000" w:themeColor="text1"/>
                <w:rtl/>
              </w:rPr>
              <w:t>‎</w:t>
            </w:r>
            <w:r w:rsidRPr="00BA40D0">
              <w:rPr>
                <w:rFonts w:ascii="Times New Roman" w:eastAsia="Times New Roman" w:hAnsi="Times New Roman" w:cs="Times New Roman"/>
                <w:strike/>
                <w:color w:val="000000" w:themeColor="text1"/>
              </w:rPr>
              <w:t>ý khắc phục thiếu sót hoặc có ý kiến phản đối dự định từ chối;</w:t>
            </w:r>
          </w:p>
          <w:p w14:paraId="7C1A0216"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1. Có cơ sở để khẳng định rằng đối tượng nêu trong đơn không đáp ứng đầy đủ các điều kiện bảo hộ.</w:t>
            </w:r>
          </w:p>
        </w:tc>
        <w:tc>
          <w:tcPr>
            <w:tcW w:w="4536" w:type="dxa"/>
            <w:vMerge/>
          </w:tcPr>
          <w:p w14:paraId="0CCEF03E"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69B27C17" w14:textId="77777777">
        <w:tc>
          <w:tcPr>
            <w:tcW w:w="4923" w:type="dxa"/>
          </w:tcPr>
          <w:p w14:paraId="1EAFE1E9"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2. Thông báo từ chối cấp Bằng bảo hộ giống cây trồng nếu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không khắc phục được các thiếu sót và không có ý kiến xác đáng phản đối dự định từ chối quy định tại khoản 1 Điều này;</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C7A7319"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2. Thông báo từ chối cấp Bằng bảo hộ giống cây trồng nếu người đăng k</w:t>
            </w:r>
            <w:r w:rsidRPr="00BA40D0">
              <w:rPr>
                <w:rFonts w:ascii="Times New Roman" w:eastAsia="Times New Roman" w:hAnsi="Times New Roman" w:cs="Times New Roman"/>
                <w:strike/>
                <w:color w:val="000000" w:themeColor="text1"/>
                <w:rtl/>
              </w:rPr>
              <w:t>‎</w:t>
            </w:r>
            <w:r w:rsidRPr="00BA40D0">
              <w:rPr>
                <w:rFonts w:ascii="Times New Roman" w:eastAsia="Times New Roman" w:hAnsi="Times New Roman" w:cs="Times New Roman"/>
                <w:strike/>
                <w:color w:val="000000" w:themeColor="text1"/>
              </w:rPr>
              <w:t>ý không khắc phục được các thiếu sót và không có ý kiến xác đáng phản đối dự định từ chối quy định tại khoản 1 Điều này;</w:t>
            </w:r>
          </w:p>
          <w:p w14:paraId="609E5C8C"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2. Có cơ sở để khẳng định rằng người nộp đơn không có quyền đăng ký bảo hộ giống cây trồng.</w:t>
            </w:r>
          </w:p>
        </w:tc>
        <w:tc>
          <w:tcPr>
            <w:tcW w:w="4536" w:type="dxa"/>
            <w:vMerge/>
          </w:tcPr>
          <w:p w14:paraId="3651583A"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13534E03" w14:textId="77777777">
        <w:tc>
          <w:tcPr>
            <w:tcW w:w="4923" w:type="dxa"/>
          </w:tcPr>
          <w:p w14:paraId="7F4F621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Thực hiện các thủ tục quy định tại Điều 183 của Luật này, nếu người đăng k</w:t>
            </w:r>
            <w:r w:rsidRPr="00BA40D0">
              <w:rPr>
                <w:rFonts w:ascii="Times New Roman" w:eastAsia="Times New Roman" w:hAnsi="Times New Roman" w:cs="Times New Roman"/>
                <w:color w:val="000000" w:themeColor="text1"/>
                <w:rtl/>
              </w:rPr>
              <w:t>‎</w:t>
            </w:r>
            <w:r w:rsidRPr="00BA40D0">
              <w:rPr>
                <w:rFonts w:ascii="Times New Roman" w:eastAsia="Times New Roman" w:hAnsi="Times New Roman" w:cs="Times New Roman"/>
                <w:color w:val="000000" w:themeColor="text1"/>
              </w:rPr>
              <w:t>ý khắc phục được các thiếu sót hoặc có ý kiến xác đáng phản đối dự định từ chối quy định tại khoản 1 Điều này.</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372B6C4"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strike/>
                <w:color w:val="000000" w:themeColor="text1"/>
              </w:rPr>
              <w:t>3. Thực hiện các thủ tục quy định tại Điều 183 của Luật này, nếu người đăng k</w:t>
            </w:r>
            <w:r w:rsidRPr="00BA40D0">
              <w:rPr>
                <w:rFonts w:ascii="Times New Roman" w:eastAsia="Times New Roman" w:hAnsi="Times New Roman" w:cs="Times New Roman"/>
                <w:strike/>
                <w:color w:val="000000" w:themeColor="text1"/>
                <w:rtl/>
              </w:rPr>
              <w:t>‎</w:t>
            </w:r>
            <w:r w:rsidRPr="00BA40D0">
              <w:rPr>
                <w:rFonts w:ascii="Times New Roman" w:eastAsia="Times New Roman" w:hAnsi="Times New Roman" w:cs="Times New Roman"/>
                <w:strike/>
                <w:color w:val="000000" w:themeColor="text1"/>
              </w:rPr>
              <w:t>ý khắc phục được các thiếu sót hoặc có ý kiến xác đáng phản đối dự định từ chối quy định tại khoản 1 Điều này.</w:t>
            </w:r>
          </w:p>
          <w:p w14:paraId="02DA4FDA"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3. Đơn thuộc trường hợp quy định tại khoản 1 Điều 166 của Luật này mà người nộp đơn không phải là người đăng ký hợp lệ sớm nhất.</w:t>
            </w:r>
          </w:p>
        </w:tc>
        <w:tc>
          <w:tcPr>
            <w:tcW w:w="4536" w:type="dxa"/>
            <w:vMerge/>
          </w:tcPr>
          <w:p w14:paraId="0C361F16"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60B52AC2" w14:textId="77777777">
        <w:tc>
          <w:tcPr>
            <w:tcW w:w="4923" w:type="dxa"/>
          </w:tcPr>
          <w:p w14:paraId="7DE48A57"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39C2494"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4. Đơn thuộc trường hợp quy định tại khoản 2 Điều 166 của Luật này mà người nộp đơn không phải là người đầu tiên chọn tạo hoặc</w:t>
            </w:r>
            <w:r w:rsidRPr="00BA40D0">
              <w:rPr>
                <w:rFonts w:ascii="Times New Roman" w:eastAsia="Times New Roman" w:hAnsi="Times New Roman" w:cs="Times New Roman"/>
                <w:b/>
                <w:bCs/>
                <w:color w:val="000000" w:themeColor="text1"/>
              </w:rPr>
              <w:t xml:space="preserve"> </w:t>
            </w:r>
            <w:r w:rsidRPr="00BA40D0">
              <w:rPr>
                <w:rFonts w:ascii="Times New Roman" w:eastAsia="Times New Roman" w:hAnsi="Times New Roman" w:cs="Times New Roman"/>
                <w:b/>
                <w:bCs/>
                <w:i/>
                <w:iCs/>
                <w:color w:val="000000" w:themeColor="text1"/>
              </w:rPr>
              <w:t xml:space="preserve">phát hiện và phát triển giống cây trồng </w:t>
            </w:r>
            <w:bookmarkStart w:id="40" w:name="_Hlk236409881"/>
            <w:r w:rsidRPr="00BA40D0">
              <w:rPr>
                <w:rFonts w:ascii="Times New Roman" w:eastAsia="Times New Roman" w:hAnsi="Times New Roman" w:cs="Times New Roman"/>
                <w:b/>
                <w:bCs/>
                <w:i/>
                <w:iCs/>
                <w:color w:val="000000" w:themeColor="text1"/>
              </w:rPr>
              <w:t xml:space="preserve">hoặc đầu tư cho </w:t>
            </w:r>
            <w:r w:rsidRPr="00BA40D0">
              <w:rPr>
                <w:rFonts w:ascii="Times New Roman" w:eastAsia="Times New Roman" w:hAnsi="Times New Roman" w:cs="Times New Roman"/>
                <w:b/>
                <w:bCs/>
                <w:i/>
                <w:iCs/>
                <w:color w:val="000000" w:themeColor="text1"/>
              </w:rPr>
              <w:lastRenderedPageBreak/>
              <w:t>chọn tạo hoặc phát hiện và phát triển giống cây trồng</w:t>
            </w:r>
            <w:bookmarkEnd w:id="40"/>
            <w:r w:rsidRPr="00BA40D0">
              <w:rPr>
                <w:rFonts w:ascii="Times New Roman" w:eastAsia="Times New Roman" w:hAnsi="Times New Roman" w:cs="Times New Roman"/>
                <w:b/>
                <w:bCs/>
                <w:i/>
                <w:iCs/>
                <w:color w:val="000000" w:themeColor="text1"/>
              </w:rPr>
              <w:t>.</w:t>
            </w:r>
          </w:p>
        </w:tc>
        <w:tc>
          <w:tcPr>
            <w:tcW w:w="4536" w:type="dxa"/>
            <w:vMerge/>
          </w:tcPr>
          <w:p w14:paraId="58341276"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677D74EA" w14:textId="77777777">
        <w:tc>
          <w:tcPr>
            <w:tcW w:w="4923" w:type="dxa"/>
          </w:tcPr>
          <w:p w14:paraId="213631EA"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725A4E4"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5. Đơn bị coi là không hợp lệ theo quy định tại khoản 2 Điều 176 của Luật này.</w:t>
            </w:r>
          </w:p>
        </w:tc>
        <w:tc>
          <w:tcPr>
            <w:tcW w:w="4536" w:type="dxa"/>
            <w:vMerge/>
          </w:tcPr>
          <w:p w14:paraId="3A339239"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001D655D" w14:textId="77777777">
        <w:tc>
          <w:tcPr>
            <w:tcW w:w="4923" w:type="dxa"/>
          </w:tcPr>
          <w:p w14:paraId="52FB178A"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Điều 185. Quyền tác giả giống cây trồng</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5C2DD82"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b/>
                <w:color w:val="000000" w:themeColor="text1"/>
              </w:rPr>
              <w:t>Điều 185. Quyền tác giả giống cây trồng</w:t>
            </w:r>
          </w:p>
        </w:tc>
        <w:tc>
          <w:tcPr>
            <w:tcW w:w="4536" w:type="dxa"/>
          </w:tcPr>
          <w:p w14:paraId="1FB86592"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54DF2B7A" w14:textId="77777777">
        <w:tc>
          <w:tcPr>
            <w:tcW w:w="4923" w:type="dxa"/>
          </w:tcPr>
          <w:p w14:paraId="02C653AA"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D84610D"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1. Tác giả giống cây trồng là người trực tiếp chọn tạo hoặc phát hiện và phát triển giống cây trồng mới; trường hợp có hai người trở lên cùng nhau trực tiếp chọn tạo hoặc phát hiện và phát triển giống cây trồng mới thì họ là đồng tác giả.</w:t>
            </w:r>
          </w:p>
        </w:tc>
        <w:tc>
          <w:tcPr>
            <w:tcW w:w="4536" w:type="dxa"/>
            <w:vMerge w:val="restart"/>
          </w:tcPr>
          <w:p w14:paraId="2A8BEBBB" w14:textId="77777777" w:rsidR="00503246" w:rsidRPr="00BA40D0" w:rsidRDefault="00267543">
            <w:pPr>
              <w:spacing w:before="60" w:after="60" w:line="240" w:lineRule="auto"/>
              <w:ind w:firstLine="179"/>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bổ sung nhằm làm rõ khái niệm “tác giả giống cây trồng” do Luật hiện hành đã sử dụng thuật ngữ này nhưng chưa có quy định giải thích, làm cơ sở xác định đúng chủ thể trực tiếp chọn tạo hoặc phát hiện và phát triển giống cây trồng.</w:t>
            </w:r>
          </w:p>
        </w:tc>
      </w:tr>
      <w:tr w:rsidR="00BA40D0" w:rsidRPr="00BA40D0" w14:paraId="34578A29" w14:textId="77777777">
        <w:tc>
          <w:tcPr>
            <w:tcW w:w="4923" w:type="dxa"/>
          </w:tcPr>
          <w:p w14:paraId="1093D4E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Tác giả giống cây trồng có các quyền sau đây:</w:t>
            </w:r>
          </w:p>
          <w:p w14:paraId="125B818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Được ghi tên với danh nghĩa là tác giả trong Bằng bảo hộ giống cây trồng, Sổ đăng ký quốc gia về giống cây trồng được bảo hộ và trong các tài liệu công bố về giống cây trồng;</w:t>
            </w:r>
          </w:p>
          <w:p w14:paraId="5B84E93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2. Nhận thù lao theo quy định tại Điều 191 của Luật này.</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4F2CBC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bCs/>
                <w:i/>
                <w:iCs/>
                <w:color w:val="000000" w:themeColor="text1"/>
              </w:rPr>
              <w:t xml:space="preserve">2. </w:t>
            </w:r>
            <w:r w:rsidRPr="00BA40D0">
              <w:rPr>
                <w:rFonts w:ascii="Times New Roman" w:eastAsia="Times New Roman" w:hAnsi="Times New Roman" w:cs="Times New Roman"/>
                <w:color w:val="000000" w:themeColor="text1"/>
              </w:rPr>
              <w:t>Tác giả giống cây trồng có các quyền sau đây:</w:t>
            </w:r>
          </w:p>
          <w:p w14:paraId="4180560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bCs/>
                <w:i/>
                <w:iCs/>
                <w:color w:val="000000" w:themeColor="text1"/>
              </w:rPr>
              <w:t>a)</w:t>
            </w:r>
            <w:r w:rsidRPr="00BA40D0">
              <w:rPr>
                <w:rFonts w:ascii="Times New Roman" w:eastAsia="Times New Roman" w:hAnsi="Times New Roman" w:cs="Times New Roman"/>
                <w:strike/>
                <w:color w:val="000000" w:themeColor="text1"/>
              </w:rPr>
              <w:t>1.</w:t>
            </w:r>
            <w:r w:rsidRPr="00BA40D0">
              <w:rPr>
                <w:rFonts w:ascii="Times New Roman" w:eastAsia="Times New Roman" w:hAnsi="Times New Roman" w:cs="Times New Roman"/>
                <w:color w:val="000000" w:themeColor="text1"/>
              </w:rPr>
              <w:t xml:space="preserve"> Được ghi tên với danh nghĩa là tác giả trong Bằng bảo hộ giống cây trồng, Sổ đăng ký quốc gia về giống cây trồng được bảo hộ và trong các tài liệu công bố về giống cây trồng;</w:t>
            </w:r>
          </w:p>
          <w:p w14:paraId="73702D7E" w14:textId="77777777" w:rsidR="00503246" w:rsidRPr="00BA40D0" w:rsidRDefault="00267543">
            <w:pPr>
              <w:spacing w:before="60" w:after="60" w:line="240" w:lineRule="auto"/>
              <w:jc w:val="both"/>
              <w:rPr>
                <w:rFonts w:ascii="Times New Roman" w:eastAsia="Times New Roman" w:hAnsi="Times New Roman" w:cs="Times New Roman"/>
                <w:strike/>
                <w:color w:val="000000" w:themeColor="text1"/>
              </w:rPr>
            </w:pPr>
            <w:r w:rsidRPr="00BA40D0">
              <w:rPr>
                <w:rFonts w:ascii="Times New Roman" w:eastAsia="Times New Roman" w:hAnsi="Times New Roman" w:cs="Times New Roman"/>
                <w:b/>
                <w:bCs/>
                <w:i/>
                <w:iCs/>
                <w:color w:val="000000" w:themeColor="text1"/>
              </w:rPr>
              <w:t xml:space="preserve">b) </w:t>
            </w:r>
            <w:r w:rsidRPr="00BA40D0">
              <w:rPr>
                <w:rFonts w:ascii="Times New Roman" w:eastAsia="Times New Roman" w:hAnsi="Times New Roman" w:cs="Times New Roman"/>
                <w:strike/>
                <w:color w:val="000000" w:themeColor="text1"/>
              </w:rPr>
              <w:t>2.</w:t>
            </w:r>
            <w:r w:rsidRPr="00BA40D0">
              <w:rPr>
                <w:rFonts w:ascii="Times New Roman" w:eastAsia="Times New Roman" w:hAnsi="Times New Roman" w:cs="Times New Roman"/>
                <w:color w:val="000000" w:themeColor="text1"/>
              </w:rPr>
              <w:t xml:space="preserve"> Nhận thù lao theo quy định tại Điều 191 của Luật này.</w:t>
            </w:r>
          </w:p>
        </w:tc>
        <w:tc>
          <w:tcPr>
            <w:tcW w:w="4536" w:type="dxa"/>
            <w:vMerge/>
          </w:tcPr>
          <w:p w14:paraId="318E1F67" w14:textId="77777777" w:rsidR="00503246" w:rsidRPr="00BA40D0" w:rsidRDefault="00503246">
            <w:pPr>
              <w:spacing w:before="60" w:after="60" w:line="240" w:lineRule="auto"/>
              <w:ind w:firstLine="179"/>
              <w:jc w:val="both"/>
              <w:rPr>
                <w:rFonts w:ascii="Times New Roman" w:eastAsia="Times New Roman" w:hAnsi="Times New Roman" w:cs="Times New Roman"/>
                <w:color w:val="000000" w:themeColor="text1"/>
              </w:rPr>
            </w:pPr>
          </w:p>
        </w:tc>
      </w:tr>
      <w:tr w:rsidR="00BA40D0" w:rsidRPr="00BA40D0" w14:paraId="34E4D040" w14:textId="77777777">
        <w:tc>
          <w:tcPr>
            <w:tcW w:w="4923" w:type="dxa"/>
          </w:tcPr>
          <w:p w14:paraId="1D5C1546" w14:textId="77777777" w:rsidR="00503246" w:rsidRPr="00BA40D0" w:rsidRDefault="00267543">
            <w:pPr>
              <w:spacing w:before="60" w:after="60" w:line="240" w:lineRule="auto"/>
              <w:jc w:val="both"/>
              <w:rPr>
                <w:rFonts w:ascii="Times New Roman" w:eastAsia="Times New Roman" w:hAnsi="Times New Roman" w:cs="Times New Roman"/>
                <w:b/>
                <w:bCs/>
                <w:color w:val="000000" w:themeColor="text1"/>
              </w:rPr>
            </w:pPr>
            <w:r w:rsidRPr="00BA40D0">
              <w:rPr>
                <w:rFonts w:ascii="Times New Roman" w:eastAsia="Times New Roman" w:hAnsi="Times New Roman" w:cs="Times New Roman"/>
                <w:b/>
                <w:bCs/>
                <w:color w:val="000000" w:themeColor="text1"/>
              </w:rPr>
              <w:t>Điều 187. Mở rộng quyền của chủ bằng bảo hộ</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0A8D1C1"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color w:val="000000" w:themeColor="text1"/>
              </w:rPr>
              <w:t>Điều 187. Mở rộng quyền của chủ bằng bảo hộ</w:t>
            </w:r>
          </w:p>
        </w:tc>
        <w:tc>
          <w:tcPr>
            <w:tcW w:w="4536" w:type="dxa"/>
          </w:tcPr>
          <w:p w14:paraId="1783C337"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E3A8798" w14:textId="77777777">
        <w:tc>
          <w:tcPr>
            <w:tcW w:w="4923" w:type="dxa"/>
          </w:tcPr>
          <w:p w14:paraId="4915F4B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Quyền của chủ bằng bảo hộ được mở rộng đối với các giống cây trồng sau đây:</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A5A565D"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 xml:space="preserve">1. </w:t>
            </w:r>
            <w:r w:rsidRPr="00BA40D0">
              <w:rPr>
                <w:rFonts w:ascii="Times New Roman" w:eastAsia="Times New Roman" w:hAnsi="Times New Roman" w:cs="Times New Roman"/>
                <w:color w:val="000000" w:themeColor="text1"/>
              </w:rPr>
              <w:t>Quyền của chủ bằng bảo hộ được mở rộng đối với các giống cây trồng sau đây:</w:t>
            </w:r>
          </w:p>
        </w:tc>
        <w:tc>
          <w:tcPr>
            <w:tcW w:w="4536" w:type="dxa"/>
          </w:tcPr>
          <w:p w14:paraId="26B022FA"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4E14BA9D" w14:textId="77777777">
        <w:tc>
          <w:tcPr>
            <w:tcW w:w="4923" w:type="dxa"/>
          </w:tcPr>
          <w:p w14:paraId="3670A39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Giống cây trồng có nguồn gốc chủ yếu từ giống cây trồng được bảo hộ, trừ trường hợp giống cây trồng được bảo hộ có nguồn gốc chủ yếu từ một giống cây trồng đã được bảo hộ khác.</w:t>
            </w:r>
          </w:p>
          <w:p w14:paraId="1A40BBB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Giống cây trồng được coi là có nguồn gốc chủ yếu từ giống được bảo hộ, nếu giống cây trồng đó vẫn giữ lại biểu hiện của các tính trạng thu được từ kiểu gen hoặc sự phối hợp các kiểu gen của </w:t>
            </w:r>
            <w:r w:rsidRPr="00BA40D0">
              <w:rPr>
                <w:rFonts w:ascii="Times New Roman" w:eastAsia="Times New Roman" w:hAnsi="Times New Roman" w:cs="Times New Roman"/>
                <w:color w:val="000000" w:themeColor="text1"/>
              </w:rPr>
              <w:lastRenderedPageBreak/>
              <w:t>giống được bảo hộ, trừ những tính trạng khác biệt là kết quả của sự tác động vào giống được bảo hộ;</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06EFA02"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strike/>
                <w:color w:val="000000" w:themeColor="text1"/>
              </w:rPr>
              <w:lastRenderedPageBreak/>
              <w:t>1.</w:t>
            </w:r>
            <w:r w:rsidRPr="00BA40D0">
              <w:rPr>
                <w:rFonts w:ascii="Times New Roman" w:eastAsia="Times New Roman" w:hAnsi="Times New Roman" w:cs="Times New Roman"/>
                <w:b/>
                <w:bCs/>
                <w:i/>
                <w:iCs/>
                <w:color w:val="000000" w:themeColor="text1"/>
              </w:rPr>
              <w:t>a)</w:t>
            </w:r>
            <w:r w:rsidRPr="00BA40D0">
              <w:rPr>
                <w:rFonts w:ascii="Times New Roman" w:eastAsia="Times New Roman" w:hAnsi="Times New Roman" w:cs="Times New Roman"/>
                <w:color w:val="000000" w:themeColor="text1"/>
              </w:rPr>
              <w:t xml:space="preserve"> Giống cây trồng có nguồn gốc chủ yếu từ giống cây trồng được bảo hộ, trừ trường hợp giống cây trồng được bảo hộ có nguồn gốc chủ yếu từ một giống cây trồng đã được bảo hộ khác</w:t>
            </w:r>
            <w:r w:rsidRPr="00BA40D0">
              <w:rPr>
                <w:rFonts w:ascii="Times New Roman" w:eastAsia="Times New Roman" w:hAnsi="Times New Roman" w:cs="Times New Roman"/>
                <w:strike/>
                <w:color w:val="000000" w:themeColor="text1"/>
              </w:rPr>
              <w:t>.</w:t>
            </w:r>
            <w:r w:rsidRPr="00BA40D0">
              <w:rPr>
                <w:rFonts w:ascii="Times New Roman" w:eastAsia="Times New Roman" w:hAnsi="Times New Roman" w:cs="Times New Roman"/>
                <w:b/>
                <w:bCs/>
                <w:i/>
                <w:iCs/>
                <w:color w:val="000000" w:themeColor="text1"/>
              </w:rPr>
              <w:t>;</w:t>
            </w:r>
          </w:p>
          <w:p w14:paraId="7C79E8FA" w14:textId="77777777"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color w:val="000000" w:themeColor="text1"/>
              </w:rPr>
              <w:t xml:space="preserve">Giống cây trồng được coi là có nguồn gốc chủ yếu từ giống được bảo hộ, nếu giống cây trồng đó vẫn giữ lại biểu hiện của các tính trạng thu được từ kiểu gen hoặc sự phối hợp các kiểu gen của giống </w:t>
            </w:r>
            <w:r w:rsidRPr="00BA40D0">
              <w:rPr>
                <w:rFonts w:ascii="Times New Roman" w:eastAsia="Times New Roman" w:hAnsi="Times New Roman" w:cs="Times New Roman"/>
                <w:color w:val="000000" w:themeColor="text1"/>
              </w:rPr>
              <w:lastRenderedPageBreak/>
              <w:t>được bảo hộ, trừ những tính trạng khác biệt là kết quả của sự tác động vào giống được bảo hộ;</w:t>
            </w:r>
          </w:p>
        </w:tc>
        <w:tc>
          <w:tcPr>
            <w:tcW w:w="4536" w:type="dxa"/>
          </w:tcPr>
          <w:p w14:paraId="6BEBBF3F" w14:textId="61B3B2BB"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2CB8FD39" w14:textId="77777777">
        <w:tc>
          <w:tcPr>
            <w:tcW w:w="4923" w:type="dxa"/>
          </w:tcPr>
          <w:p w14:paraId="0C47F41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 Giống cây trồng không khác biệt rõ ràng với giống cây trồng đã được bảo hộ;</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F6B4AF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strike/>
                <w:color w:val="000000" w:themeColor="text1"/>
              </w:rPr>
              <w:t>2.</w:t>
            </w:r>
            <w:r w:rsidRPr="00BA40D0">
              <w:rPr>
                <w:rFonts w:ascii="Times New Roman" w:eastAsia="Times New Roman" w:hAnsi="Times New Roman" w:cs="Times New Roman"/>
                <w:b/>
                <w:bCs/>
                <w:i/>
                <w:iCs/>
                <w:color w:val="000000" w:themeColor="text1"/>
              </w:rPr>
              <w:t>b)</w:t>
            </w:r>
            <w:r w:rsidRPr="00BA40D0">
              <w:rPr>
                <w:rFonts w:ascii="Times New Roman" w:eastAsia="Times New Roman" w:hAnsi="Times New Roman" w:cs="Times New Roman"/>
                <w:color w:val="000000" w:themeColor="text1"/>
              </w:rPr>
              <w:t xml:space="preserve"> Giống cây trồng không khác biệt rõ ràng với giống cây trồng đã được bảo hộ;</w:t>
            </w:r>
          </w:p>
        </w:tc>
        <w:tc>
          <w:tcPr>
            <w:tcW w:w="4536" w:type="dxa"/>
          </w:tcPr>
          <w:p w14:paraId="12283D01"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10C5088E" w14:textId="77777777">
        <w:tc>
          <w:tcPr>
            <w:tcW w:w="4923" w:type="dxa"/>
          </w:tcPr>
          <w:p w14:paraId="4FD72D7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Giống cây trồng mà việc sản xuất đòi hỏi phải sử dụng lặp lại giống cây trồng đã được bảo hộ.</w:t>
            </w: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CF87CE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strike/>
                <w:color w:val="000000" w:themeColor="text1"/>
              </w:rPr>
              <w:t>3.</w:t>
            </w:r>
            <w:r w:rsidRPr="00BA40D0">
              <w:rPr>
                <w:rFonts w:ascii="Times New Roman" w:eastAsia="Times New Roman" w:hAnsi="Times New Roman" w:cs="Times New Roman"/>
                <w:b/>
                <w:bCs/>
                <w:i/>
                <w:iCs/>
                <w:color w:val="000000" w:themeColor="text1"/>
              </w:rPr>
              <w:t xml:space="preserve">c) </w:t>
            </w:r>
            <w:r w:rsidRPr="00BA40D0">
              <w:rPr>
                <w:rFonts w:ascii="Times New Roman" w:eastAsia="Times New Roman" w:hAnsi="Times New Roman" w:cs="Times New Roman"/>
                <w:color w:val="000000" w:themeColor="text1"/>
              </w:rPr>
              <w:t>Giống cây trồng mà việc sản xuất đòi hỏi phải sử dụng lặp lại giống cây trồng đã được bảo hộ.</w:t>
            </w:r>
          </w:p>
        </w:tc>
        <w:tc>
          <w:tcPr>
            <w:tcW w:w="4536" w:type="dxa"/>
          </w:tcPr>
          <w:p w14:paraId="33DBC298"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3D72D6B5" w14:textId="77777777">
        <w:tc>
          <w:tcPr>
            <w:tcW w:w="4923" w:type="dxa"/>
          </w:tcPr>
          <w:p w14:paraId="71E5E010"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c>
          <w:tcPr>
            <w:tcW w:w="49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AD1B3A9" w14:textId="393C5B7D" w:rsidR="00503246" w:rsidRPr="00BA40D0" w:rsidRDefault="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2. Chính phủ quy định chi tiết việc xác định giống cây trồng có nguồn gốc chủ yếu từ giống được bảo hộ.</w:t>
            </w:r>
          </w:p>
        </w:tc>
        <w:tc>
          <w:tcPr>
            <w:tcW w:w="4536" w:type="dxa"/>
          </w:tcPr>
          <w:p w14:paraId="79E618F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Thực tiễn hiện nay tại Việt Nam ngày càng xuất hiện các giống cây trồng có dấu hiệu hoặc nghi ngờ là giống có nguồn gốc chủ yếu từ giống được bảo hộ (EDV), nhất là trong bối cảnh các phương pháp chọn tạo giống và công nghệ sinh học ngày càng phát triển. Tuy nhiên, quy định hiện hành mới xác định nguyên tắc chung về giống có nguồn gốc chủ yếu, chưa có quy định cụ thể về tiêu chí, căn cứ, phương pháp và quy trình xác định một giống có phải là EDV hay không. Điều này có thể gây khó khăn trong việc xác định phạm vi quyền của chủ Bằng bảo hộ và xử lý các vấn đề phát sinh giữa chủ giống được bảo hộ với tổ chức, cá nhân tạo ra, khai thác giống có liên quan.</w:t>
            </w:r>
          </w:p>
          <w:p w14:paraId="0B58628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Việc xác định EDV có tính chuyên môn, kỹ thuật cao, cần xem xét tổng hợp nguồn gốc và quá trình tạo giống, mức độ duy trì các tính trạng chủ yếu của giống ban đầu, những khác biệt phát sinh trong quá trình tạo giống và các bằng chứng khoa học, kỹ thuật có liên quan. Đồng thời, phương pháp xác định quan hệ giữa các giống có thể tiếp tục thay đổi theo sự </w:t>
            </w:r>
            <w:r w:rsidRPr="00BA40D0">
              <w:rPr>
                <w:rFonts w:ascii="Times New Roman" w:eastAsia="Times New Roman" w:hAnsi="Times New Roman" w:cs="Times New Roman"/>
                <w:color w:val="000000" w:themeColor="text1"/>
              </w:rPr>
              <w:lastRenderedPageBreak/>
              <w:t>phát triển của khoa học, công nghệ và thực tiễn quốc tế.</w:t>
            </w:r>
          </w:p>
          <w:p w14:paraId="58C94BE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Do đó, việc bổ sung quy định “Chính phủ quy định chi tiết việc xác định giống cây trồng có nguồn gốc chủ yếu từ giống được bảo hộ” nhằm tạo cơ sở pháp lý để quy định cụ thể phương pháp xác định giống EDV, bảo đảm thống nhất, minh bạch và khả thi trong áp dụng; đồng thời tạo điều kiện cập nhật theo tiến bộ khoa học, kỹ thuật và bảo đảm phù hợp với Công ước UPOV, không làm thay đổi bản chất và phạm vi của giống có nguồn gốc chủ yếu đã được xác định tại Luật.</w:t>
            </w:r>
          </w:p>
        </w:tc>
      </w:tr>
      <w:tr w:rsidR="00BA40D0" w:rsidRPr="00BA40D0" w14:paraId="17CFDF04" w14:textId="77777777">
        <w:tc>
          <w:tcPr>
            <w:tcW w:w="14420" w:type="dxa"/>
            <w:gridSpan w:val="3"/>
          </w:tcPr>
          <w:p w14:paraId="79A3B125"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lastRenderedPageBreak/>
              <w:t>Phần V. BẢO VỆ QUYỀN SỞ HỮU TRÍ TUỆ</w:t>
            </w:r>
            <w:r w:rsidRPr="00BA40D0">
              <w:rPr>
                <w:rFonts w:ascii="Times New Roman" w:eastAsia="Times New Roman" w:hAnsi="Times New Roman" w:cs="Times New Roman"/>
                <w:b/>
                <w:color w:val="000000" w:themeColor="text1"/>
              </w:rPr>
              <w:tab/>
            </w:r>
          </w:p>
        </w:tc>
      </w:tr>
      <w:tr w:rsidR="00BA40D0" w:rsidRPr="00BA40D0" w14:paraId="7473A021" w14:textId="77777777">
        <w:tc>
          <w:tcPr>
            <w:tcW w:w="14420" w:type="dxa"/>
            <w:gridSpan w:val="3"/>
          </w:tcPr>
          <w:p w14:paraId="1CAB589F" w14:textId="77777777" w:rsidR="00503246" w:rsidRPr="00BA40D0" w:rsidRDefault="00267543">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Chương XVI. QUY ĐỊNH CHUNG VỀ BẢO VỆ QUYỀN SỞ HỮU TRÍ TUỆ</w:t>
            </w:r>
            <w:r w:rsidRPr="00BA40D0">
              <w:rPr>
                <w:rFonts w:ascii="Times New Roman" w:eastAsia="Times New Roman" w:hAnsi="Times New Roman" w:cs="Times New Roman"/>
                <w:b/>
                <w:color w:val="000000" w:themeColor="text1"/>
              </w:rPr>
              <w:tab/>
            </w:r>
          </w:p>
        </w:tc>
      </w:tr>
      <w:tr w:rsidR="00BA40D0" w:rsidRPr="00BA40D0" w14:paraId="35087761" w14:textId="77777777">
        <w:tc>
          <w:tcPr>
            <w:tcW w:w="4923" w:type="dxa"/>
          </w:tcPr>
          <w:p w14:paraId="12D30010"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color w:val="000000" w:themeColor="text1"/>
              </w:rPr>
              <w:t>Điều 201. Giám định về sở hữu trí tuệ</w:t>
            </w:r>
          </w:p>
        </w:tc>
        <w:tc>
          <w:tcPr>
            <w:tcW w:w="4961" w:type="dxa"/>
          </w:tcPr>
          <w:p w14:paraId="43B612D8" w14:textId="77777777" w:rsidR="00503246" w:rsidRPr="00BA40D0" w:rsidRDefault="00267543">
            <w:pPr>
              <w:spacing w:before="60" w:after="60" w:line="240" w:lineRule="auto"/>
              <w:jc w:val="both"/>
              <w:rPr>
                <w:rFonts w:ascii="Times New Roman" w:eastAsia="Times New Roman" w:hAnsi="Times New Roman" w:cs="Times New Roman"/>
                <w:i/>
                <w:color w:val="000000" w:themeColor="text1"/>
              </w:rPr>
            </w:pPr>
            <w:r w:rsidRPr="00BA40D0">
              <w:rPr>
                <w:rFonts w:ascii="Times New Roman" w:eastAsia="Times New Roman" w:hAnsi="Times New Roman" w:cs="Times New Roman"/>
                <w:b/>
                <w:color w:val="000000" w:themeColor="text1"/>
              </w:rPr>
              <w:t>Điều 201. Giám định về sở hữu trí tuệ</w:t>
            </w:r>
          </w:p>
        </w:tc>
        <w:tc>
          <w:tcPr>
            <w:tcW w:w="4536" w:type="dxa"/>
          </w:tcPr>
          <w:p w14:paraId="3AFDC8AD" w14:textId="77777777" w:rsidR="00503246" w:rsidRPr="00BA40D0" w:rsidRDefault="00503246">
            <w:pPr>
              <w:spacing w:before="60" w:after="60" w:line="240" w:lineRule="auto"/>
              <w:jc w:val="both"/>
              <w:rPr>
                <w:rFonts w:ascii="Times New Roman" w:eastAsia="Times New Roman" w:hAnsi="Times New Roman" w:cs="Times New Roman"/>
                <w:color w:val="000000" w:themeColor="text1"/>
              </w:rPr>
            </w:pPr>
          </w:p>
        </w:tc>
      </w:tr>
      <w:tr w:rsidR="00BA40D0" w:rsidRPr="00BA40D0" w14:paraId="7FA1132F" w14:textId="77777777">
        <w:tc>
          <w:tcPr>
            <w:tcW w:w="4923" w:type="dxa"/>
          </w:tcPr>
          <w:p w14:paraId="20D8989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 Giám định về sở hữu trí tuệ là việc tổ chức, cá nhân quy định tại khoản 2 và khoản 3 Điều này sử dụng kiến thức, nghiệp vụ chuyên môn để đánh giá, kết luận về những vấn đề có liên quan đến quyền sở hữu trí tuệ. Việc giám định tư pháp về sở hữu trí tuệ được thực hiện theo quy định của pháp luật về giám định tư pháp.</w:t>
            </w:r>
          </w:p>
        </w:tc>
        <w:tc>
          <w:tcPr>
            <w:tcW w:w="4961" w:type="dxa"/>
          </w:tcPr>
          <w:p w14:paraId="3063606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1. Giám định về sở hữu trí tuệ là việc </w:t>
            </w:r>
            <w:r w:rsidRPr="00BA40D0">
              <w:rPr>
                <w:rFonts w:ascii="Times New Roman" w:eastAsia="Times New Roman" w:hAnsi="Times New Roman" w:cs="Times New Roman"/>
                <w:strike/>
                <w:color w:val="000000" w:themeColor="text1"/>
              </w:rPr>
              <w:t>tổ chức, cá nhân</w:t>
            </w:r>
            <w:r w:rsidRPr="00BA40D0">
              <w:rPr>
                <w:rFonts w:ascii="Times New Roman" w:eastAsia="Times New Roman" w:hAnsi="Times New Roman" w:cs="Times New Roman"/>
                <w:color w:val="000000" w:themeColor="text1"/>
              </w:rPr>
              <w:t xml:space="preserve"> </w:t>
            </w:r>
            <w:r w:rsidRPr="00BA40D0">
              <w:rPr>
                <w:rFonts w:ascii="Times New Roman" w:eastAsia="Times New Roman" w:hAnsi="Times New Roman" w:cs="Times New Roman"/>
                <w:strike/>
                <w:color w:val="000000" w:themeColor="text1"/>
              </w:rPr>
              <w:t>quy định tại khoản 2 và khoản 3 Điều này</w:t>
            </w:r>
            <w:r w:rsidRPr="00BA40D0">
              <w:rPr>
                <w:rFonts w:ascii="Times New Roman" w:eastAsia="Times New Roman" w:hAnsi="Times New Roman" w:cs="Times New Roman"/>
                <w:color w:val="000000" w:themeColor="text1"/>
              </w:rPr>
              <w:t xml:space="preserve"> sử dụng kiến thức, nghiệp vụ chuyên môn để đánh giá, kết luận về những vấn đề có liên quan đến quyền sở hữu trí tuệ. Việc giám định tư pháp về sở hữu trí tuệ được thực hiện theo quy định của pháp luật về giám định tư pháp.</w:t>
            </w:r>
          </w:p>
        </w:tc>
        <w:tc>
          <w:tcPr>
            <w:tcW w:w="4536" w:type="dxa"/>
          </w:tcPr>
          <w:p w14:paraId="6F753C8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khoản 1, bỏ dẫn chiếu đến khoản 2, khoản 3 về điều kiện đối với tổ chức, cá nhân để phù hợp với quy định về việc bãi bỏ các điều kiện kinh doanh dịch vụ giám định SHTT tại các NQ 66.17, NQ 66.18, chỉ quy định chủ thể chung là “tổ chức giám định, giám định viên”.</w:t>
            </w:r>
          </w:p>
        </w:tc>
      </w:tr>
      <w:tr w:rsidR="00BA40D0" w:rsidRPr="00BA40D0" w14:paraId="440B10EA" w14:textId="77777777">
        <w:tc>
          <w:tcPr>
            <w:tcW w:w="4923" w:type="dxa"/>
          </w:tcPr>
          <w:p w14:paraId="6169FF2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1a. Giám định về sở hữu trí tuệ bao gồm:</w:t>
            </w:r>
          </w:p>
          <w:p w14:paraId="3A6EC94C"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Giám định về quyền tác giả và quyền liên quan;</w:t>
            </w:r>
          </w:p>
          <w:p w14:paraId="472D36A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Giám định về quyền sở hữu công nghiệp;</w:t>
            </w:r>
          </w:p>
          <w:p w14:paraId="2C97BBC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Giám định về quyền đối với giống cây trồng.</w:t>
            </w:r>
          </w:p>
        </w:tc>
        <w:tc>
          <w:tcPr>
            <w:tcW w:w="4961" w:type="dxa"/>
          </w:tcPr>
          <w:p w14:paraId="540AAF55"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b/>
                <w:bCs/>
                <w:i/>
                <w:iCs/>
                <w:color w:val="000000" w:themeColor="text1"/>
              </w:rPr>
              <w:t>2</w:t>
            </w:r>
            <w:r w:rsidRPr="00BA40D0">
              <w:rPr>
                <w:rFonts w:ascii="Times New Roman" w:eastAsia="Times New Roman" w:hAnsi="Times New Roman" w:cs="Times New Roman"/>
                <w:b/>
                <w:bCs/>
                <w:i/>
                <w:iCs/>
                <w:strike/>
                <w:color w:val="000000" w:themeColor="text1"/>
              </w:rPr>
              <w:t xml:space="preserve"> </w:t>
            </w:r>
            <w:r w:rsidRPr="00BA40D0">
              <w:rPr>
                <w:rFonts w:ascii="Times New Roman" w:eastAsia="Times New Roman" w:hAnsi="Times New Roman" w:cs="Times New Roman"/>
                <w:strike/>
                <w:color w:val="000000" w:themeColor="text1"/>
              </w:rPr>
              <w:t>1a</w:t>
            </w:r>
            <w:r w:rsidRPr="00BA40D0">
              <w:rPr>
                <w:rFonts w:ascii="Times New Roman" w:eastAsia="Times New Roman" w:hAnsi="Times New Roman" w:cs="Times New Roman"/>
                <w:color w:val="000000" w:themeColor="text1"/>
              </w:rPr>
              <w:t>. Giám định về sở hữu trí tuệ bao gồm:</w:t>
            </w:r>
          </w:p>
          <w:p w14:paraId="38F53003"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Giám định về quyền tác giả và quyền liên quan;</w:t>
            </w:r>
          </w:p>
          <w:p w14:paraId="313FBEA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Giám định về quyền sở hữu công nghiệp;</w:t>
            </w:r>
          </w:p>
          <w:p w14:paraId="7581E52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Giám định về quyền đối với giống cây trồng.</w:t>
            </w:r>
          </w:p>
        </w:tc>
        <w:tc>
          <w:tcPr>
            <w:tcW w:w="4536" w:type="dxa"/>
          </w:tcPr>
          <w:p w14:paraId="13411D3B"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Giữ nguyên quy định hiện hành để phân loại chung về các lĩnh vực giám định SHTT.</w:t>
            </w:r>
          </w:p>
        </w:tc>
      </w:tr>
      <w:tr w:rsidR="00BA40D0" w:rsidRPr="00BA40D0" w14:paraId="4DE67558" w14:textId="77777777">
        <w:tc>
          <w:tcPr>
            <w:tcW w:w="4923" w:type="dxa"/>
          </w:tcPr>
          <w:p w14:paraId="7794A87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2</w:t>
            </w:r>
            <w:bookmarkStart w:id="41" w:name="_Hlk216074817"/>
            <w:r w:rsidRPr="00BA40D0">
              <w:rPr>
                <w:rFonts w:ascii="Times New Roman" w:eastAsia="Times New Roman" w:hAnsi="Times New Roman" w:cs="Times New Roman"/>
                <w:color w:val="000000" w:themeColor="text1"/>
              </w:rPr>
              <w:t xml:space="preserve">. Doanh nghiệp, hợp tác xã, đơn vị sự nghiệp công lập, tổ chức hành nghề luật sư </w:t>
            </w:r>
            <w:bookmarkEnd w:id="41"/>
            <w:r w:rsidRPr="00BA40D0">
              <w:rPr>
                <w:rFonts w:ascii="Times New Roman" w:eastAsia="Times New Roman" w:hAnsi="Times New Roman" w:cs="Times New Roman"/>
                <w:color w:val="000000" w:themeColor="text1"/>
              </w:rPr>
              <w:t xml:space="preserve">được thành lập và hoạt động theo quy định của pháp luật có ít nhất một cá nhân có thẻ giám định viên sở hữu trí tuệ được thực hiện hoạt động giám định về sở hữu trí tuệ, trừ trường hợp quy định tại khoản 2a Điều này. </w:t>
            </w:r>
          </w:p>
        </w:tc>
        <w:tc>
          <w:tcPr>
            <w:tcW w:w="4961" w:type="dxa"/>
          </w:tcPr>
          <w:p w14:paraId="1D10A831"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Bãi bỏ</w:t>
            </w:r>
          </w:p>
          <w:p w14:paraId="23111F1E" w14:textId="77777777" w:rsidR="00503246" w:rsidRPr="00BA40D0" w:rsidRDefault="00267543">
            <w:pPr>
              <w:spacing w:before="60" w:after="60" w:line="240" w:lineRule="auto"/>
              <w:jc w:val="both"/>
              <w:rPr>
                <w:rFonts w:ascii="Times New Roman" w:eastAsia="Times New Roman" w:hAnsi="Times New Roman" w:cs="Times New Roman"/>
                <w:i/>
                <w:iCs/>
                <w:color w:val="000000" w:themeColor="text1"/>
              </w:rPr>
            </w:pPr>
            <w:r w:rsidRPr="00BA40D0">
              <w:rPr>
                <w:rFonts w:ascii="Times New Roman" w:eastAsia="Times New Roman" w:hAnsi="Times New Roman" w:cs="Times New Roman"/>
                <w:color w:val="000000" w:themeColor="text1"/>
              </w:rPr>
              <w:t xml:space="preserve"> </w:t>
            </w:r>
          </w:p>
        </w:tc>
        <w:tc>
          <w:tcPr>
            <w:tcW w:w="4536" w:type="dxa"/>
          </w:tcPr>
          <w:p w14:paraId="62E3880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Không quy định điều kiện kinh doanh liên quan đến hình thức hoạt động của tổ chức giám định để phù hợp với việc cắt giảm điều kiện kinh doanh tại điểm C.I Mục 3 Phụ lục I.3 Nghị quyết 66.18/2026/NQ-CP.  </w:t>
            </w:r>
          </w:p>
        </w:tc>
      </w:tr>
      <w:tr w:rsidR="00BA40D0" w:rsidRPr="00BA40D0" w14:paraId="55766514" w14:textId="77777777">
        <w:tc>
          <w:tcPr>
            <w:tcW w:w="4923" w:type="dxa"/>
          </w:tcPr>
          <w:p w14:paraId="1D309407"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2a. Tổ chức hành nghề luật sư nước ngoài hành nghề tại Việt Nam không được kinh doanh dịch vụ giám định sở hữu trí tuệ.</w:t>
            </w:r>
          </w:p>
        </w:tc>
        <w:tc>
          <w:tcPr>
            <w:tcW w:w="4961" w:type="dxa"/>
          </w:tcPr>
          <w:p w14:paraId="6BAB88F6"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Bãi bỏ</w:t>
            </w:r>
          </w:p>
        </w:tc>
        <w:tc>
          <w:tcPr>
            <w:tcW w:w="4536" w:type="dxa"/>
          </w:tcPr>
          <w:p w14:paraId="2EB23CF4"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Không quy định điều kiện kinh doanh liên quan đến hình thức hoạt động của tổ chức giám định để phù hợp với việc cắt giảm điều kiện kinh doanh tại điểm C.I Mục 3 Phụ lục I.3 Nghị quyết 66.18/2026/NQ-CP.</w:t>
            </w:r>
          </w:p>
          <w:p w14:paraId="06D93296"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Hoạt động kinh doanh giám định của tổ chức hành nghề luật sư nước ngoài hành nghề tại Việt Nam tuân thủ theo pháp luật về luật sư, tư vấn pháp lý (liên quan đến phạm vi mở cửa thị trường dịch vụ trong các điều ước quốc tế mà Việt Nam ký kết hoặc tham gia).</w:t>
            </w:r>
          </w:p>
        </w:tc>
      </w:tr>
      <w:tr w:rsidR="00BA40D0" w:rsidRPr="00BA40D0" w14:paraId="2A0B4FF8" w14:textId="77777777">
        <w:tc>
          <w:tcPr>
            <w:tcW w:w="4923" w:type="dxa"/>
          </w:tcPr>
          <w:p w14:paraId="3A10A02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3. Cá nhân có đủ các điều kiện sau đây được cơ quan nhà nước có thẩm quyền cấp Thẻ giám định viên sở hữu trí tuệ:</w:t>
            </w:r>
          </w:p>
          <w:p w14:paraId="2ADC1976"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Là công dân Việt Nam, có năng lực hành vi dân sự đầy đủ;</w:t>
            </w:r>
          </w:p>
          <w:p w14:paraId="58C986ED"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Thường trú tại Việt Nam;</w:t>
            </w:r>
          </w:p>
          <w:p w14:paraId="464A21BE"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Có phẩm chất đạo đức tốt;</w:t>
            </w:r>
          </w:p>
          <w:p w14:paraId="24FD423A"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 Có trình độ đại học trở lên về chuyên ngành phù hợp với lĩnh vực đề nghị cấp thẻ giám định;</w:t>
            </w:r>
          </w:p>
          <w:p w14:paraId="22E27A7F"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đ) Thuộc một trong các trường hợp sau: đã qua thực tế hoạt động chuyên môn trong lĩnh vực đề </w:t>
            </w:r>
            <w:r w:rsidRPr="00BA40D0">
              <w:rPr>
                <w:rFonts w:ascii="Times New Roman" w:eastAsia="Times New Roman" w:hAnsi="Times New Roman" w:cs="Times New Roman"/>
                <w:color w:val="000000" w:themeColor="text1"/>
              </w:rPr>
              <w:lastRenderedPageBreak/>
              <w:t>nghị cấp thẻ giám định viên sở hữu trí tuệ từ đủ năm năm trở lên và được chứng nhận đạt yêu cầu khóa đào tạo nghiệp vụ về giám định sở hữu trí tuệ; trực tiếp tham gia giải quyết tranh chấp về sở hữu trí tuệ tại Tòa án và tổ chức trọng tài từ đủ mười lăm năm trở lên và thời gian gián đoạn (nếu có) không quá hai năm tính đến thời điểm đề nghị cấp thẻ giám định viên sở hữu trí tuệ; trực tiếp tham gia hỗ trợ chuyên môn trong công tác giám định về sở hữu trí tuệ tại tổ chức giám định từ đủ mười lăm năm trở lên và thời gian gián đoạn (nếu có) không quá hai năm tính đến thời điểm đề nghị cấp thẻ giám định viên sở hữu trí tuệ.</w:t>
            </w:r>
          </w:p>
        </w:tc>
        <w:tc>
          <w:tcPr>
            <w:tcW w:w="4961" w:type="dxa"/>
          </w:tcPr>
          <w:p w14:paraId="6582224A" w14:textId="77777777" w:rsidR="00503246" w:rsidRPr="00BA40D0" w:rsidRDefault="00267543">
            <w:pPr>
              <w:spacing w:before="60" w:after="60" w:line="240" w:lineRule="auto"/>
              <w:jc w:val="both"/>
              <w:rPr>
                <w:rFonts w:ascii="Times New Roman" w:eastAsia="Times New Roman" w:hAnsi="Times New Roman" w:cs="Times New Roman"/>
                <w:i/>
                <w:iCs/>
                <w:color w:val="000000" w:themeColor="text1"/>
              </w:rPr>
            </w:pPr>
            <w:r w:rsidRPr="00BA40D0">
              <w:rPr>
                <w:rFonts w:ascii="Times New Roman" w:eastAsia="Times New Roman" w:hAnsi="Times New Roman" w:cs="Times New Roman"/>
                <w:color w:val="000000" w:themeColor="text1"/>
              </w:rPr>
              <w:lastRenderedPageBreak/>
              <w:t>Bãi bỏ</w:t>
            </w:r>
          </w:p>
        </w:tc>
        <w:tc>
          <w:tcPr>
            <w:tcW w:w="4536" w:type="dxa"/>
          </w:tcPr>
          <w:p w14:paraId="5F8F2147" w14:textId="7D9450EA" w:rsidR="00503246" w:rsidRPr="00BA40D0" w:rsidRDefault="00CE5039">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 </w:t>
            </w:r>
            <w:r w:rsidR="00267543" w:rsidRPr="00BA40D0">
              <w:rPr>
                <w:rFonts w:ascii="Times New Roman" w:eastAsia="Times New Roman" w:hAnsi="Times New Roman" w:cs="Times New Roman"/>
                <w:color w:val="000000" w:themeColor="text1"/>
              </w:rPr>
              <w:t>Không quy định điều kiện cấp thẻ giám định viên để phù hợp với việc cắt giảm điều kiện kinh doanh tại điểm C.I Mục 3 Phụ lục I.3 Nghị quyết 66.18/2026/NQ-CP.</w:t>
            </w:r>
          </w:p>
          <w:p w14:paraId="4C6A6E03" w14:textId="43C69134" w:rsidR="00341C2A" w:rsidRPr="00BA40D0" w:rsidRDefault="00CE5039" w:rsidP="00341C2A">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 </w:t>
            </w:r>
            <w:r w:rsidR="00341C2A" w:rsidRPr="00BA40D0">
              <w:rPr>
                <w:rFonts w:ascii="Times New Roman" w:eastAsia="Times New Roman" w:hAnsi="Times New Roman" w:cs="Times New Roman"/>
                <w:color w:val="000000" w:themeColor="text1"/>
              </w:rPr>
              <w:t xml:space="preserve">Theo quy định tại khoản 2 Điều 2 của Nghị quyết số 66.17/2026/NQ-CP, khi cắt giảm những ngành nghề điều kiện đầu tư, kinh doanh thì có thể quản lý thông qua tiêu chuẩn nghề theo phương thức hậu kiểm. Có ý kiến cho rằng việc quy định tiêu chuẩn nghề đối với giám định viên sở hữu trí tuệ vẫn có thể bị xem là một điều kiện kinh doanh. Do đó, </w:t>
            </w:r>
            <w:r w:rsidR="00341C2A" w:rsidRPr="00BA40D0">
              <w:rPr>
                <w:rFonts w:ascii="Times New Roman" w:eastAsia="Times New Roman" w:hAnsi="Times New Roman" w:cs="Times New Roman"/>
                <w:color w:val="000000" w:themeColor="text1"/>
              </w:rPr>
              <w:lastRenderedPageBreak/>
              <w:t>Dự thảo không đặt ra quy định về tiêu chuẩn nghề mà chỉ đặt quy định về nghĩa vụ thông báo để thực hiện hoạt động quản lý nhà nước tại khoản 4 Điều này. Tuy nhiên, các ý kiến góp ý cho Dự thảo Luật cho rằng việc không quy định tiêu chuẩn nghề có thể không bảo đảm chất lượng của dịch vụ giám định sở hữu trí tuệ.</w:t>
            </w:r>
          </w:p>
        </w:tc>
      </w:tr>
      <w:tr w:rsidR="00BA40D0" w:rsidRPr="00BA40D0" w14:paraId="30352D10" w14:textId="77777777">
        <w:tc>
          <w:tcPr>
            <w:tcW w:w="4923" w:type="dxa"/>
          </w:tcPr>
          <w:p w14:paraId="0F079FA2"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3a. Trường hợp người được cấp thẻ giám định viên sở hữu trí tuệ không còn đáp ứng các điều kiện theo quy định tại khoản 3 Điều này, cơ quan nhà nước có thẩm quyền thu hồi thẻ giám định viên sở hữu trí tuệ.</w:t>
            </w:r>
          </w:p>
        </w:tc>
        <w:tc>
          <w:tcPr>
            <w:tcW w:w="4961" w:type="dxa"/>
          </w:tcPr>
          <w:p w14:paraId="3283C8B8"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Bãi bỏ</w:t>
            </w:r>
          </w:p>
          <w:p w14:paraId="04B7FD89" w14:textId="77777777" w:rsidR="00503246" w:rsidRPr="00BA40D0" w:rsidRDefault="00503246">
            <w:pPr>
              <w:spacing w:before="60" w:after="60" w:line="240" w:lineRule="auto"/>
              <w:jc w:val="both"/>
              <w:rPr>
                <w:rFonts w:ascii="Times New Roman" w:eastAsia="Times New Roman" w:hAnsi="Times New Roman" w:cs="Times New Roman"/>
                <w:b/>
                <w:bCs/>
                <w:strike/>
                <w:color w:val="000000" w:themeColor="text1"/>
              </w:rPr>
            </w:pPr>
          </w:p>
        </w:tc>
        <w:tc>
          <w:tcPr>
            <w:tcW w:w="4536" w:type="dxa"/>
          </w:tcPr>
          <w:p w14:paraId="21861736" w14:textId="77777777" w:rsidR="00503246" w:rsidRPr="00BA40D0" w:rsidRDefault="00267543">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Bãi bỏ để thống nhất với việc việc bãi bỏ quy định về việc cấp thẻ giám định viên.</w:t>
            </w:r>
          </w:p>
        </w:tc>
      </w:tr>
      <w:tr w:rsidR="00BA40D0" w:rsidRPr="00BA40D0" w14:paraId="7BBBF584" w14:textId="77777777">
        <w:tc>
          <w:tcPr>
            <w:tcW w:w="4923" w:type="dxa"/>
          </w:tcPr>
          <w:p w14:paraId="53236239" w14:textId="0F7BFB7A" w:rsidR="00B87586" w:rsidRPr="00BA40D0" w:rsidRDefault="00B87586"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4. Nguyên tắc thực hiện giám định bao gồm:</w:t>
            </w:r>
          </w:p>
          <w:p w14:paraId="602BA58C" w14:textId="1C931F45"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a) Tuân thủ pháp luật, tuân theo trình tự, thủ tục giám định.</w:t>
            </w:r>
          </w:p>
          <w:p w14:paraId="057ADCEF"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b) Trung thực, chính xác, khách quan, vô tư, kịp thời.</w:t>
            </w:r>
          </w:p>
          <w:p w14:paraId="557A649C"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c) Chỉ kết luận về chuyên môn những vấn đề trong phạm vi được yêu cầu.</w:t>
            </w:r>
          </w:p>
          <w:p w14:paraId="53729FD2"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d) Chịu trách nhiệm trước pháp luật về kết luận giám định.</w:t>
            </w:r>
          </w:p>
          <w:p w14:paraId="6F6A0B63"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đ) Chi phí giám định được xác định theo thỏa thuận giữa người có yêu cầu giám định và tổ chức, cá nhân giám định.</w:t>
            </w:r>
          </w:p>
        </w:tc>
        <w:tc>
          <w:tcPr>
            <w:tcW w:w="4961" w:type="dxa"/>
          </w:tcPr>
          <w:p w14:paraId="03F55465" w14:textId="12F1F086" w:rsidR="00C756D7" w:rsidRPr="00BA40D0" w:rsidRDefault="00C756D7" w:rsidP="00FF1997">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color w:val="000000" w:themeColor="text1"/>
              </w:rPr>
              <w:t>Giữ nguyên</w:t>
            </w:r>
          </w:p>
        </w:tc>
        <w:tc>
          <w:tcPr>
            <w:tcW w:w="4536" w:type="dxa"/>
          </w:tcPr>
          <w:p w14:paraId="7603680F" w14:textId="77777777" w:rsidR="00FF1997" w:rsidRPr="00BA40D0" w:rsidRDefault="00FF1997" w:rsidP="00267543">
            <w:pPr>
              <w:spacing w:before="60" w:after="60" w:line="240" w:lineRule="auto"/>
              <w:jc w:val="both"/>
              <w:rPr>
                <w:rFonts w:ascii="Times New Roman" w:eastAsia="Times New Roman" w:hAnsi="Times New Roman" w:cs="Times New Roman"/>
                <w:color w:val="000000" w:themeColor="text1"/>
              </w:rPr>
            </w:pPr>
          </w:p>
        </w:tc>
      </w:tr>
      <w:tr w:rsidR="00BA40D0" w:rsidRPr="00BA40D0" w14:paraId="76A0410B" w14:textId="77777777">
        <w:tc>
          <w:tcPr>
            <w:tcW w:w="4923" w:type="dxa"/>
          </w:tcPr>
          <w:p w14:paraId="74C6C2B5"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p>
        </w:tc>
        <w:tc>
          <w:tcPr>
            <w:tcW w:w="4961" w:type="dxa"/>
          </w:tcPr>
          <w:p w14:paraId="118CBEB3" w14:textId="77777777" w:rsidR="00267543" w:rsidRPr="00BA40D0" w:rsidRDefault="00267543" w:rsidP="00267543">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 xml:space="preserve">4. Tổ chức, cá nhân giám định về sở hữu trí tuệ phải gửi văn bản thông báo về thông tin của tổ chức, cá nhân giám định cho cơ quan nhà nước có thẩm quyền để công bố trên cổng thông tin điện tử của cơ quan đó trong thời hạn 10 ngày kể từ ngày bắt đầu hoạt động hoặc cung cấp dịch vụ giám định. Tổ chức, cá nhân giám định tự chịu trách nhiệm về thông tin cung cấp. </w:t>
            </w:r>
          </w:p>
          <w:p w14:paraId="221800B7" w14:textId="0FF2409F" w:rsidR="00F95019" w:rsidRPr="00BA40D0" w:rsidRDefault="00267543" w:rsidP="00190F84">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b/>
                <w:bCs/>
                <w:i/>
                <w:iCs/>
                <w:color w:val="000000" w:themeColor="text1"/>
              </w:rPr>
              <w:t>Thông tin của tổ chức, cá nhân giám định để công bố phải bao gồm tên, địa chỉ, định danh cá nhân, tổ chức giám định, lĩnh vực giám định. Trường hợp có sự thay đổi đối với các thông tin đã được công bố, tổ chức, cá nhân giám định phải gửi văn bản thông báo cho cơ quan quản lý nhà nước có thẩm quyền trong thời hạn 10 ngày kể từ ngày có sự thay đổi thông tin. Cơ quan quản lý nhà nước có thẩm quyền công bố thông tin thay đổi theo văn bản thông báo của tổ chức cá nhân, giám định hoặc theo quyết định của cơ quan nhà nước có thẩm quyền trên cổng thông tin điện tử của cơ quan đó.</w:t>
            </w:r>
          </w:p>
        </w:tc>
        <w:tc>
          <w:tcPr>
            <w:tcW w:w="4536" w:type="dxa"/>
          </w:tcPr>
          <w:p w14:paraId="0DE03CA8" w14:textId="52D08091"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Bổ sung quy định về nghĩa vụ thông báo của tổ chức giám định, giám định viên khi hoạt động giám định để </w:t>
            </w:r>
            <w:r w:rsidR="006B17AB" w:rsidRPr="00BA40D0">
              <w:rPr>
                <w:rFonts w:ascii="Times New Roman" w:eastAsia="Times New Roman" w:hAnsi="Times New Roman" w:cs="Times New Roman"/>
                <w:color w:val="000000" w:themeColor="text1"/>
              </w:rPr>
              <w:t>phục vụ hoạt động</w:t>
            </w:r>
            <w:r w:rsidRPr="00BA40D0">
              <w:rPr>
                <w:rFonts w:ascii="Times New Roman" w:eastAsia="Times New Roman" w:hAnsi="Times New Roman" w:cs="Times New Roman"/>
                <w:color w:val="000000" w:themeColor="text1"/>
              </w:rPr>
              <w:t xml:space="preserve"> quản lý nhà nước về </w:t>
            </w:r>
            <w:r w:rsidR="006B17AB" w:rsidRPr="00BA40D0">
              <w:rPr>
                <w:rFonts w:ascii="Times New Roman" w:eastAsia="Times New Roman" w:hAnsi="Times New Roman" w:cs="Times New Roman"/>
                <w:color w:val="000000" w:themeColor="text1"/>
              </w:rPr>
              <w:t xml:space="preserve">hoạt động </w:t>
            </w:r>
            <w:r w:rsidRPr="00BA40D0">
              <w:rPr>
                <w:rFonts w:ascii="Times New Roman" w:eastAsia="Times New Roman" w:hAnsi="Times New Roman" w:cs="Times New Roman"/>
                <w:color w:val="000000" w:themeColor="text1"/>
              </w:rPr>
              <w:t>giám định</w:t>
            </w:r>
            <w:r w:rsidR="006B17AB" w:rsidRPr="00BA40D0">
              <w:rPr>
                <w:rFonts w:ascii="Times New Roman" w:eastAsia="Times New Roman" w:hAnsi="Times New Roman" w:cs="Times New Roman"/>
                <w:color w:val="000000" w:themeColor="text1"/>
              </w:rPr>
              <w:t xml:space="preserve"> sở hữu trí tuệ</w:t>
            </w:r>
            <w:r w:rsidRPr="00BA40D0">
              <w:rPr>
                <w:rFonts w:ascii="Times New Roman" w:eastAsia="Times New Roman" w:hAnsi="Times New Roman" w:cs="Times New Roman"/>
                <w:color w:val="000000" w:themeColor="text1"/>
              </w:rPr>
              <w:t>.</w:t>
            </w:r>
          </w:p>
          <w:p w14:paraId="6E83BA24" w14:textId="0E483874"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Các thông tin do tổ chức, cá nhân thông báo tới cơ quan nhà nước có thẩm quyền sẽ được công bố </w:t>
            </w:r>
            <w:r w:rsidR="006B17AB" w:rsidRPr="00BA40D0">
              <w:rPr>
                <w:rFonts w:ascii="Times New Roman" w:eastAsia="Times New Roman" w:hAnsi="Times New Roman" w:cs="Times New Roman"/>
                <w:color w:val="000000" w:themeColor="text1"/>
              </w:rPr>
              <w:t>và</w:t>
            </w:r>
            <w:r w:rsidRPr="00BA40D0">
              <w:rPr>
                <w:rFonts w:ascii="Times New Roman" w:eastAsia="Times New Roman" w:hAnsi="Times New Roman" w:cs="Times New Roman"/>
                <w:color w:val="000000" w:themeColor="text1"/>
              </w:rPr>
              <w:t xml:space="preserve"> tổ chức, cá nhân tự chịu trách nhiệm về thông tin</w:t>
            </w:r>
            <w:r w:rsidR="006B17AB" w:rsidRPr="00BA40D0">
              <w:rPr>
                <w:rFonts w:ascii="Times New Roman" w:eastAsia="Times New Roman" w:hAnsi="Times New Roman" w:cs="Times New Roman"/>
                <w:color w:val="000000" w:themeColor="text1"/>
              </w:rPr>
              <w:t xml:space="preserve"> được thông báo</w:t>
            </w:r>
            <w:r w:rsidRPr="00BA40D0">
              <w:rPr>
                <w:rFonts w:ascii="Times New Roman" w:eastAsia="Times New Roman" w:hAnsi="Times New Roman" w:cs="Times New Roman"/>
                <w:color w:val="000000" w:themeColor="text1"/>
              </w:rPr>
              <w:t>.</w:t>
            </w:r>
          </w:p>
          <w:p w14:paraId="0B6A32F4" w14:textId="3E38E12E" w:rsidR="006B17AB"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Việc không tuân thủ nghĩa vụ thông báo có thể dẫn tới bị áp dụng biện pháp xử phạt vi phạm hành chính.</w:t>
            </w:r>
          </w:p>
          <w:p w14:paraId="4E88F15C" w14:textId="5F06C184" w:rsidR="00267543" w:rsidRPr="00BA40D0" w:rsidRDefault="00267543" w:rsidP="00FF1997">
            <w:pPr>
              <w:spacing w:before="60" w:after="60" w:line="240" w:lineRule="auto"/>
              <w:jc w:val="both"/>
              <w:rPr>
                <w:rFonts w:ascii="Times New Roman" w:eastAsia="Times New Roman" w:hAnsi="Times New Roman" w:cs="Times New Roman"/>
                <w:color w:val="000000" w:themeColor="text1"/>
              </w:rPr>
            </w:pPr>
          </w:p>
        </w:tc>
      </w:tr>
      <w:tr w:rsidR="00BA40D0" w:rsidRPr="00BA40D0" w14:paraId="07B2D0B5" w14:textId="77777777">
        <w:tc>
          <w:tcPr>
            <w:tcW w:w="4923" w:type="dxa"/>
          </w:tcPr>
          <w:p w14:paraId="7CEC2F0A"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 xml:space="preserve">5. Chủ thể quyền sở hữu trí tuệ và tổ chức, cá nhân khác có liên quan có quyền yêu cầu giám định về sở hữu trí tuệ để bảo vệ quyền và lợi ích hợp pháp của mình. Cơ quan nhà nước có thẩm quyền xử lý hành vi xâm phạm quyền sở hữu trí tuệ có quyền yêu cầu giám định về sở hữu trí tuệ khi giải quyết vụ việc mà mình đang thụ lý. Kết luận giám định là một trong các nguồn chứng cứ để cơ quan có thẩm quyền xử lý, giải quyết vụ việc. Kết luận giám định không kết luận về hành </w:t>
            </w:r>
            <w:r w:rsidRPr="00BA40D0">
              <w:rPr>
                <w:rFonts w:ascii="Times New Roman" w:eastAsia="Times New Roman" w:hAnsi="Times New Roman" w:cs="Times New Roman"/>
                <w:color w:val="000000" w:themeColor="text1"/>
              </w:rPr>
              <w:lastRenderedPageBreak/>
              <w:t>vi xâm phạm quyền sở hữu trí tuệ hoặc kết luận về vụ tranh chấp.</w:t>
            </w:r>
          </w:p>
        </w:tc>
        <w:tc>
          <w:tcPr>
            <w:tcW w:w="4961" w:type="dxa"/>
          </w:tcPr>
          <w:p w14:paraId="0BD59024" w14:textId="77777777" w:rsidR="00FF1997" w:rsidRPr="00BA40D0" w:rsidRDefault="00FF1997" w:rsidP="00FF1997">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color w:val="000000" w:themeColor="text1"/>
              </w:rPr>
              <w:lastRenderedPageBreak/>
              <w:t>Giữ nguyên</w:t>
            </w:r>
          </w:p>
        </w:tc>
        <w:tc>
          <w:tcPr>
            <w:tcW w:w="4536" w:type="dxa"/>
          </w:tcPr>
          <w:p w14:paraId="1B077226"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p>
        </w:tc>
      </w:tr>
      <w:tr w:rsidR="00BA40D0" w:rsidRPr="00BA40D0" w14:paraId="25A57C7E" w14:textId="77777777">
        <w:tc>
          <w:tcPr>
            <w:tcW w:w="4923" w:type="dxa"/>
          </w:tcPr>
          <w:p w14:paraId="71FD6C5E"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6. Chính phủ quy định cụ thể về tổ chức và hoạt động giám định về sở hữu trí tuệ.</w:t>
            </w:r>
          </w:p>
        </w:tc>
        <w:tc>
          <w:tcPr>
            <w:tcW w:w="4961" w:type="dxa"/>
          </w:tcPr>
          <w:p w14:paraId="22335054" w14:textId="77777777" w:rsidR="00FF1997" w:rsidRPr="00BA40D0" w:rsidRDefault="00FF1997" w:rsidP="00FF1997">
            <w:pPr>
              <w:spacing w:before="60" w:after="60" w:line="240" w:lineRule="auto"/>
              <w:jc w:val="both"/>
              <w:rPr>
                <w:rFonts w:ascii="Times New Roman" w:eastAsia="Times New Roman" w:hAnsi="Times New Roman" w:cs="Times New Roman"/>
                <w:b/>
                <w:bCs/>
                <w:i/>
                <w:iCs/>
                <w:color w:val="000000" w:themeColor="text1"/>
              </w:rPr>
            </w:pPr>
            <w:r w:rsidRPr="00BA40D0">
              <w:rPr>
                <w:rFonts w:ascii="Times New Roman" w:eastAsia="Times New Roman" w:hAnsi="Times New Roman" w:cs="Times New Roman"/>
                <w:color w:val="000000" w:themeColor="text1"/>
              </w:rPr>
              <w:t xml:space="preserve">6. Chính phủ quy định </w:t>
            </w:r>
            <w:r w:rsidRPr="00BA40D0">
              <w:rPr>
                <w:rFonts w:ascii="Times New Roman" w:eastAsia="Times New Roman" w:hAnsi="Times New Roman" w:cs="Times New Roman"/>
                <w:strike/>
                <w:color w:val="000000" w:themeColor="text1"/>
              </w:rPr>
              <w:t xml:space="preserve">cụ thể </w:t>
            </w:r>
            <w:r w:rsidRPr="00BA40D0">
              <w:rPr>
                <w:rFonts w:ascii="Times New Roman" w:eastAsia="Times New Roman" w:hAnsi="Times New Roman" w:cs="Times New Roman"/>
                <w:b/>
                <w:bCs/>
                <w:i/>
                <w:iCs/>
                <w:color w:val="000000" w:themeColor="text1"/>
              </w:rPr>
              <w:t>chi tiết</w:t>
            </w:r>
            <w:r w:rsidRPr="00BA40D0">
              <w:rPr>
                <w:rFonts w:ascii="Times New Roman" w:eastAsia="Times New Roman" w:hAnsi="Times New Roman" w:cs="Times New Roman"/>
                <w:color w:val="000000" w:themeColor="text1"/>
              </w:rPr>
              <w:t xml:space="preserve"> về tổ chức</w:t>
            </w:r>
            <w:r w:rsidRPr="00BA40D0">
              <w:rPr>
                <w:rFonts w:ascii="Times New Roman" w:eastAsia="Times New Roman" w:hAnsi="Times New Roman" w:cs="Times New Roman"/>
                <w:b/>
                <w:bCs/>
                <w:i/>
                <w:iCs/>
                <w:color w:val="000000" w:themeColor="text1"/>
              </w:rPr>
              <w:t>, cá nhân giám định, nguyên tắc thực hiện giám định</w:t>
            </w:r>
            <w:r w:rsidRPr="00BA40D0">
              <w:rPr>
                <w:rFonts w:ascii="Times New Roman" w:eastAsia="Times New Roman" w:hAnsi="Times New Roman" w:cs="Times New Roman"/>
                <w:color w:val="000000" w:themeColor="text1"/>
              </w:rPr>
              <w:t xml:space="preserve"> và hoạt động giám định </w:t>
            </w:r>
            <w:r w:rsidRPr="00BA40D0">
              <w:rPr>
                <w:rFonts w:ascii="Times New Roman" w:eastAsia="Times New Roman" w:hAnsi="Times New Roman" w:cs="Times New Roman"/>
                <w:strike/>
                <w:color w:val="000000" w:themeColor="text1"/>
              </w:rPr>
              <w:t>về</w:t>
            </w:r>
            <w:r w:rsidRPr="00BA40D0">
              <w:rPr>
                <w:rFonts w:ascii="Times New Roman" w:eastAsia="Times New Roman" w:hAnsi="Times New Roman" w:cs="Times New Roman"/>
                <w:color w:val="000000" w:themeColor="text1"/>
              </w:rPr>
              <w:t xml:space="preserve"> sở hữu trí tuệ.</w:t>
            </w:r>
          </w:p>
        </w:tc>
        <w:tc>
          <w:tcPr>
            <w:tcW w:w="4536" w:type="dxa"/>
          </w:tcPr>
          <w:p w14:paraId="259D7BDC"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t>Sửa đổi, bổ sung khoản 6 để làm cơ sở quy định chi tiết tại Nghị định hoặc Chính phủ tiếp tục giao Bộ trưởng quy định chi tiết trong thông tư về tổ chức, cá nhân giám định (hình thức hoạt động, lĩnh vực giám định, quyền và nghĩa vụ trong thực hiện giám định v.v.), nguyên tắc thực hiện giám định (trình tự, thủ tục giám định, tiêu chuẩn nghề giám định viên v.v.), hoạt động giám định (giám định bổ sung, giám định lại, kết luận giám định v.v.) trên cơ sở các quy định hiện hành trong Nghị định 65/2023/NĐ-CP.</w:t>
            </w:r>
          </w:p>
        </w:tc>
      </w:tr>
      <w:tr w:rsidR="00BA40D0" w:rsidRPr="00BA40D0" w14:paraId="3B50EEDD" w14:textId="77777777">
        <w:tc>
          <w:tcPr>
            <w:tcW w:w="4923" w:type="dxa"/>
          </w:tcPr>
          <w:p w14:paraId="58A5B1E2" w14:textId="77777777" w:rsidR="00FF1997" w:rsidRPr="00BA40D0" w:rsidRDefault="00FF1997" w:rsidP="00FF1997">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Điều 2. Điều khoản chuyển tiếp</w:t>
            </w:r>
          </w:p>
        </w:tc>
        <w:tc>
          <w:tcPr>
            <w:tcW w:w="4961" w:type="dxa"/>
          </w:tcPr>
          <w:p w14:paraId="67A60936"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p>
        </w:tc>
        <w:tc>
          <w:tcPr>
            <w:tcW w:w="4536" w:type="dxa"/>
          </w:tcPr>
          <w:p w14:paraId="67BC3BD9"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p>
        </w:tc>
      </w:tr>
      <w:tr w:rsidR="00BA40D0" w:rsidRPr="00BA40D0" w14:paraId="66F2E608" w14:textId="77777777">
        <w:tc>
          <w:tcPr>
            <w:tcW w:w="4923" w:type="dxa"/>
          </w:tcPr>
          <w:p w14:paraId="2AE877DE" w14:textId="77777777" w:rsidR="00FF1997" w:rsidRPr="00BA40D0" w:rsidRDefault="00FF1997" w:rsidP="00FF1997">
            <w:pPr>
              <w:spacing w:before="60" w:after="60" w:line="240" w:lineRule="auto"/>
              <w:jc w:val="both"/>
              <w:rPr>
                <w:rFonts w:ascii="Times New Roman" w:eastAsia="Times New Roman" w:hAnsi="Times New Roman" w:cs="Times New Roman"/>
                <w:b/>
                <w:color w:val="000000" w:themeColor="text1"/>
              </w:rPr>
            </w:pPr>
          </w:p>
        </w:tc>
        <w:tc>
          <w:tcPr>
            <w:tcW w:w="4961" w:type="dxa"/>
          </w:tcPr>
          <w:p w14:paraId="334B427C" w14:textId="77777777" w:rsidR="00FF1997" w:rsidRPr="001350CC" w:rsidRDefault="00FF1997" w:rsidP="00FF1997">
            <w:pPr>
              <w:spacing w:before="60" w:after="60" w:line="240" w:lineRule="auto"/>
              <w:jc w:val="both"/>
              <w:rPr>
                <w:rFonts w:ascii="Times New Roman" w:eastAsia="Times New Roman" w:hAnsi="Times New Roman" w:cs="Times New Roman"/>
                <w:b/>
                <w:i/>
                <w:color w:val="000000" w:themeColor="text1"/>
              </w:rPr>
            </w:pPr>
            <w:r w:rsidRPr="001350CC">
              <w:rPr>
                <w:rFonts w:ascii="Times New Roman" w:eastAsia="Times New Roman" w:hAnsi="Times New Roman" w:cs="Times New Roman"/>
                <w:b/>
                <w:i/>
                <w:color w:val="000000" w:themeColor="text1"/>
              </w:rPr>
              <w:t>1. Yêu cầu sửa đổi văn bằng bảo hộ, hồ sơ đăng ký hợp đồng chuyển giao quyền sở hữu công nghiệp đã được nộp trước ngày Luật này có hiệu lực thi hành được xử lý theo quy định của pháp luật có hiệu lực tại thời điểm nộp đơn.</w:t>
            </w:r>
          </w:p>
          <w:p w14:paraId="694269C8" w14:textId="77777777" w:rsidR="00FF1997" w:rsidRPr="001350CC" w:rsidRDefault="00FF1997" w:rsidP="00FF1997">
            <w:pPr>
              <w:spacing w:before="60" w:after="60" w:line="240" w:lineRule="auto"/>
              <w:jc w:val="both"/>
              <w:rPr>
                <w:rFonts w:ascii="Times New Roman" w:eastAsia="Times New Roman" w:hAnsi="Times New Roman" w:cs="Times New Roman"/>
                <w:b/>
                <w:i/>
                <w:color w:val="000000" w:themeColor="text1"/>
              </w:rPr>
            </w:pPr>
            <w:r w:rsidRPr="001350CC">
              <w:rPr>
                <w:rFonts w:ascii="Times New Roman" w:eastAsia="Times New Roman" w:hAnsi="Times New Roman" w:cs="Times New Roman"/>
                <w:b/>
                <w:i/>
                <w:color w:val="000000" w:themeColor="text1"/>
              </w:rPr>
              <w:t xml:space="preserve">2. Hồ sơ đề nghị cấp, cấp lại, thu hồi Thẻ giám định viên sở hữu công nghiệp, Thẻ giám định viên quyền giống cây trồng, Giấy chứng nhận tổ chức giám định sở hữu công nghiệp, Giấy chứng nhận tổ chức giám định quyền đối với giống cây trồng đã được cơ quan nhà nước có thẩm quyền tiếp nhận hợp lệ trước ngày Luật này có hiệu lực thi hành nhưng chưa trả kết quả, cơ quan nhà nước có thẩm quyền thông </w:t>
            </w:r>
            <w:r w:rsidRPr="001350CC">
              <w:rPr>
                <w:rFonts w:ascii="Times New Roman" w:eastAsia="Times New Roman" w:hAnsi="Times New Roman" w:cs="Times New Roman"/>
                <w:b/>
                <w:i/>
                <w:color w:val="000000" w:themeColor="text1"/>
              </w:rPr>
              <w:lastRenderedPageBreak/>
              <w:t>báo về việc ngừng giải quyết và trả hồ sơ cho cá nhân, tổ chức đã nộp.</w:t>
            </w:r>
          </w:p>
          <w:p w14:paraId="33E11C96" w14:textId="77777777" w:rsidR="00FF1997" w:rsidRPr="001350CC" w:rsidRDefault="00FF1997" w:rsidP="00FF1997">
            <w:pPr>
              <w:spacing w:before="60" w:after="60" w:line="240" w:lineRule="auto"/>
              <w:jc w:val="both"/>
              <w:rPr>
                <w:rFonts w:ascii="Times New Roman" w:eastAsia="Times New Roman" w:hAnsi="Times New Roman" w:cs="Times New Roman"/>
                <w:b/>
                <w:i/>
                <w:color w:val="000000" w:themeColor="text1"/>
              </w:rPr>
            </w:pPr>
            <w:r w:rsidRPr="001350CC">
              <w:rPr>
                <w:rFonts w:ascii="Times New Roman" w:eastAsia="Times New Roman" w:hAnsi="Times New Roman" w:cs="Times New Roman"/>
                <w:b/>
                <w:i/>
                <w:color w:val="000000" w:themeColor="text1"/>
              </w:rPr>
              <w:t>3. Thẻ giám định viên sở hữu công nghiệp, Thẻ giám định viên quyền giống cây trồng, Giấy chứng nhận tổ chức giám định sở hữu công nghiệp, Giấy chứng nhận tổ chức giám định quyền đối với giống cây trồng đã được cấp trước ngày Luật này có hiệu lực thi hành mà chưa hết hiệu lực thì tiếp tục sử dụng trong thời hạn 01 năm kể từ ngày Luật này có hiệu lực thi hành.</w:t>
            </w:r>
          </w:p>
          <w:p w14:paraId="5E1274CA" w14:textId="77777777" w:rsidR="00FF1997" w:rsidRPr="001350CC" w:rsidRDefault="00FF1997" w:rsidP="00FF1997">
            <w:pPr>
              <w:spacing w:before="60" w:after="60" w:line="240" w:lineRule="auto"/>
              <w:jc w:val="both"/>
              <w:rPr>
                <w:rFonts w:ascii="Times New Roman" w:eastAsia="Times New Roman" w:hAnsi="Times New Roman" w:cs="Times New Roman"/>
                <w:b/>
                <w:i/>
                <w:color w:val="000000" w:themeColor="text1"/>
              </w:rPr>
            </w:pPr>
            <w:r w:rsidRPr="001350CC">
              <w:rPr>
                <w:rFonts w:ascii="Times New Roman" w:eastAsia="Times New Roman" w:hAnsi="Times New Roman" w:cs="Times New Roman"/>
                <w:b/>
                <w:i/>
                <w:color w:val="000000" w:themeColor="text1"/>
              </w:rPr>
              <w:t xml:space="preserve">4. Đơn đăng ký bảo hộ giống cây trồng, đơn trong các thủ tục khác liên quan đến quyền đối với giống cây trồng đã được nộp trước ngày Luật này có hiệu lực thi hành được xử lý theo quy định của pháp luật có hiệu lực tại thời điểm nộp đơn. Đối với đơn đăng ký bảo hộ giống cây trồng, đơn trong các thủ tục khác liên quan đến quyền đối với giống cây trồng đã được tiếp nhận trước thời điểm Luật này có hiệu lực thi hành nhưng chưa giải quyết xong thì tiếp tục được xử lý bởi cơ quan, người có thẩm quyền tiếp nhận chức năng quản lý nhà nước về giống cây trồng hoặc được phân cấp, phân quyền trong lĩnh vực quyền đối với giống cây trồng theo quy định pháp luật có liên quan. </w:t>
            </w:r>
          </w:p>
          <w:p w14:paraId="05176279"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1350CC">
              <w:rPr>
                <w:rFonts w:ascii="Times New Roman" w:eastAsia="Times New Roman" w:hAnsi="Times New Roman" w:cs="Times New Roman"/>
                <w:b/>
                <w:i/>
                <w:color w:val="000000" w:themeColor="text1"/>
              </w:rPr>
              <w:t xml:space="preserve">5. Mọi quyền và nghĩa vụ theo Bằng bảo hộ giống cây trồng được cấp theo quy định của pháp luật có hiệu lực trước ngày Luật này có hiệu lực thi hành và các thủ tục duy trì, sửa đổi, chuyển giao quyền sử dụng, chuyển nhượng quyền sở hữu liên quan đến Bằng bảo hộ đó </w:t>
            </w:r>
            <w:r w:rsidRPr="001350CC">
              <w:rPr>
                <w:rFonts w:ascii="Times New Roman" w:eastAsia="Times New Roman" w:hAnsi="Times New Roman" w:cs="Times New Roman"/>
                <w:b/>
                <w:i/>
                <w:color w:val="000000" w:themeColor="text1"/>
              </w:rPr>
              <w:lastRenderedPageBreak/>
              <w:t>được áp dụng theo quy định của Luật này, trừ quy định về căn cứ hủy bỏ hiệu lực Bằng bảo hộ thì áp dụng quy định của văn bản pháp luật có hiệu lực tại thời điểm cấp Bằng bảo hộ.</w:t>
            </w:r>
          </w:p>
        </w:tc>
        <w:tc>
          <w:tcPr>
            <w:tcW w:w="4536" w:type="dxa"/>
          </w:tcPr>
          <w:p w14:paraId="6D295D73"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r w:rsidRPr="00BA40D0">
              <w:rPr>
                <w:rFonts w:ascii="Times New Roman" w:eastAsia="Times New Roman" w:hAnsi="Times New Roman" w:cs="Times New Roman"/>
                <w:color w:val="000000" w:themeColor="text1"/>
              </w:rPr>
              <w:lastRenderedPageBreak/>
              <w:t>Quy định điều khoản chuyển tiếp đối với khoản 1, 2, 3 để xử lý đối với các thủ tục hành chính, ngành nghề kinh doanh bị cắt giảm; khoản 4 để quy định xử lý đối với việc chuyển chức năng quản lý nhà nước.</w:t>
            </w:r>
          </w:p>
        </w:tc>
      </w:tr>
      <w:tr w:rsidR="00BA40D0" w:rsidRPr="00BA40D0" w14:paraId="6DB989A0" w14:textId="77777777">
        <w:tc>
          <w:tcPr>
            <w:tcW w:w="4923" w:type="dxa"/>
          </w:tcPr>
          <w:p w14:paraId="0F6FB86C" w14:textId="77777777" w:rsidR="00FF1997" w:rsidRPr="00BA40D0" w:rsidRDefault="00FF1997" w:rsidP="00FF1997">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lastRenderedPageBreak/>
              <w:t>Điều 3. Hiệu lực thi hành</w:t>
            </w:r>
            <w:r w:rsidRPr="00BA40D0">
              <w:rPr>
                <w:rFonts w:ascii="Times New Roman" w:eastAsia="Times New Roman" w:hAnsi="Times New Roman" w:cs="Times New Roman"/>
                <w:b/>
                <w:color w:val="000000" w:themeColor="text1"/>
              </w:rPr>
              <w:tab/>
            </w:r>
          </w:p>
        </w:tc>
        <w:tc>
          <w:tcPr>
            <w:tcW w:w="4961" w:type="dxa"/>
          </w:tcPr>
          <w:p w14:paraId="4C02AFD8"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p>
        </w:tc>
        <w:tc>
          <w:tcPr>
            <w:tcW w:w="4536" w:type="dxa"/>
          </w:tcPr>
          <w:p w14:paraId="1E20DC8B"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p>
        </w:tc>
      </w:tr>
      <w:tr w:rsidR="00BA40D0" w:rsidRPr="00BA40D0" w14:paraId="0FDECE85" w14:textId="77777777">
        <w:tc>
          <w:tcPr>
            <w:tcW w:w="4923" w:type="dxa"/>
          </w:tcPr>
          <w:p w14:paraId="01E1A3C2" w14:textId="77777777" w:rsidR="00FF1997" w:rsidRPr="00BA40D0" w:rsidRDefault="00FF1997" w:rsidP="00FF1997">
            <w:pPr>
              <w:spacing w:before="60" w:after="60" w:line="240" w:lineRule="auto"/>
              <w:jc w:val="both"/>
              <w:rPr>
                <w:rFonts w:ascii="Times New Roman" w:eastAsia="Times New Roman" w:hAnsi="Times New Roman" w:cs="Times New Roman"/>
                <w:b/>
                <w:color w:val="000000" w:themeColor="text1"/>
              </w:rPr>
            </w:pPr>
            <w:r w:rsidRPr="00BA40D0">
              <w:rPr>
                <w:rFonts w:ascii="Times New Roman" w:eastAsia="Times New Roman" w:hAnsi="Times New Roman" w:cs="Times New Roman"/>
                <w:b/>
                <w:color w:val="000000" w:themeColor="text1"/>
              </w:rPr>
              <w:tab/>
            </w:r>
          </w:p>
        </w:tc>
        <w:tc>
          <w:tcPr>
            <w:tcW w:w="4961" w:type="dxa"/>
          </w:tcPr>
          <w:p w14:paraId="4853FADB" w14:textId="77777777" w:rsidR="00FF1997" w:rsidRPr="001350CC" w:rsidRDefault="00FF1997" w:rsidP="00FF1997">
            <w:pPr>
              <w:spacing w:before="60" w:after="60" w:line="240" w:lineRule="auto"/>
              <w:jc w:val="both"/>
              <w:rPr>
                <w:rFonts w:ascii="Times New Roman" w:eastAsia="Times New Roman" w:hAnsi="Times New Roman" w:cs="Times New Roman"/>
                <w:b/>
                <w:i/>
                <w:color w:val="000000" w:themeColor="text1"/>
              </w:rPr>
            </w:pPr>
            <w:bookmarkStart w:id="42" w:name="_GoBack"/>
            <w:r w:rsidRPr="001350CC">
              <w:rPr>
                <w:rFonts w:ascii="Times New Roman" w:eastAsia="Times New Roman" w:hAnsi="Times New Roman" w:cs="Times New Roman"/>
                <w:b/>
                <w:i/>
                <w:color w:val="000000" w:themeColor="text1"/>
              </w:rPr>
              <w:t>Luật này có hiệu lực thi hành từ ngày 01   tháng  03  năm 2027.</w:t>
            </w:r>
            <w:bookmarkEnd w:id="42"/>
          </w:p>
        </w:tc>
        <w:tc>
          <w:tcPr>
            <w:tcW w:w="4536" w:type="dxa"/>
          </w:tcPr>
          <w:p w14:paraId="58CB71EF" w14:textId="77777777" w:rsidR="00FF1997" w:rsidRPr="00BA40D0" w:rsidRDefault="00FF1997" w:rsidP="00FF1997">
            <w:pPr>
              <w:spacing w:before="60" w:after="60" w:line="240" w:lineRule="auto"/>
              <w:jc w:val="both"/>
              <w:rPr>
                <w:rFonts w:ascii="Times New Roman" w:eastAsia="Times New Roman" w:hAnsi="Times New Roman" w:cs="Times New Roman"/>
                <w:color w:val="000000" w:themeColor="text1"/>
              </w:rPr>
            </w:pPr>
          </w:p>
        </w:tc>
      </w:tr>
    </w:tbl>
    <w:p w14:paraId="71A57EFC" w14:textId="77777777" w:rsidR="00503246" w:rsidRPr="00BA40D0" w:rsidRDefault="00503246">
      <w:pPr>
        <w:rPr>
          <w:color w:val="000000" w:themeColor="text1"/>
        </w:rPr>
      </w:pPr>
    </w:p>
    <w:p w14:paraId="75056C00" w14:textId="77777777" w:rsidR="00503246" w:rsidRPr="00BA40D0" w:rsidRDefault="00503246">
      <w:pPr>
        <w:rPr>
          <w:color w:val="000000" w:themeColor="text1"/>
        </w:rPr>
      </w:pPr>
    </w:p>
    <w:sectPr w:rsidR="00503246" w:rsidRPr="00BA40D0">
      <w:headerReference w:type="default" r:id="rId7"/>
      <w:pgSz w:w="16834" w:h="11909" w:orient="landscape" w:code="9"/>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65ABE" w14:textId="77777777" w:rsidR="00291345" w:rsidRDefault="00291345">
      <w:pPr>
        <w:spacing w:after="0" w:line="240" w:lineRule="auto"/>
      </w:pPr>
      <w:r>
        <w:separator/>
      </w:r>
    </w:p>
  </w:endnote>
  <w:endnote w:type="continuationSeparator" w:id="0">
    <w:p w14:paraId="66DEF1DE" w14:textId="77777777" w:rsidR="00291345" w:rsidRDefault="00291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4BE36" w14:textId="77777777" w:rsidR="00291345" w:rsidRDefault="00291345">
      <w:pPr>
        <w:spacing w:after="0" w:line="240" w:lineRule="auto"/>
      </w:pPr>
      <w:r>
        <w:separator/>
      </w:r>
    </w:p>
  </w:footnote>
  <w:footnote w:type="continuationSeparator" w:id="0">
    <w:p w14:paraId="0F28718F" w14:textId="77777777" w:rsidR="00291345" w:rsidRDefault="00291345">
      <w:pPr>
        <w:spacing w:after="0" w:line="240" w:lineRule="auto"/>
      </w:pPr>
      <w:r>
        <w:continuationSeparator/>
      </w:r>
    </w:p>
  </w:footnote>
  <w:footnote w:id="1">
    <w:p w14:paraId="58CA845E" w14:textId="77777777" w:rsidR="00267543" w:rsidRDefault="00267543">
      <w:pPr>
        <w:pBdr>
          <w:top w:val="nil"/>
          <w:left w:val="nil"/>
          <w:bottom w:val="nil"/>
          <w:right w:val="nil"/>
          <w:between w:val="nil"/>
        </w:pBdr>
        <w:spacing w:after="0"/>
        <w:jc w:val="both"/>
        <w:rPr>
          <w:rFonts w:ascii="Times New Roman" w:hAnsi="Times New Roman" w:cs="Times New Roman"/>
          <w:color w:val="000000"/>
          <w:sz w:val="20"/>
          <w:szCs w:val="20"/>
        </w:rPr>
      </w:pPr>
      <w:r>
        <w:rPr>
          <w:rFonts w:ascii="Times New Roman" w:hAnsi="Times New Roman" w:cs="Times New Roman"/>
          <w:vertAlign w:val="superscript"/>
        </w:rPr>
        <w:footnoteRef/>
      </w:r>
      <w:r>
        <w:rPr>
          <w:rFonts w:ascii="Times New Roman" w:hAnsi="Times New Roman" w:cs="Times New Roman"/>
          <w:color w:val="000000"/>
          <w:sz w:val="20"/>
          <w:szCs w:val="20"/>
        </w:rPr>
        <w:t xml:space="preserve"> </w:t>
      </w:r>
      <w:r>
        <w:rPr>
          <w:rFonts w:ascii="Times New Roman" w:eastAsia="Times New Roman" w:hAnsi="Times New Roman" w:cs="Times New Roman"/>
          <w:color w:val="000000"/>
          <w:sz w:val="22"/>
        </w:rPr>
        <w:t>Luật Sở hữu trí tuệ số 50/2005/QH11 đã được sửa đổi, bổ sung một số điều theo Luật số 36/2009/QH12, Luật số 42/2019/QH14, Luật số 07/2022/QH15, Luật số 93/2025/QH15 và Luật số 131</w:t>
      </w:r>
      <w:r>
        <w:rPr>
          <w:rFonts w:ascii="Times New Roman" w:hAnsi="Times New Roman" w:cs="Times New Roman"/>
          <w:color w:val="000000"/>
          <w:sz w:val="22"/>
        </w:rPr>
        <w:t>/2025/QH15.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F93BA" w14:textId="00B2DD9B" w:rsidR="00267543" w:rsidRDefault="00267543">
    <w:pPr>
      <w:pBdr>
        <w:top w:val="nil"/>
        <w:left w:val="nil"/>
        <w:bottom w:val="nil"/>
        <w:right w:val="nil"/>
        <w:between w:val="nil"/>
      </w:pBdr>
      <w:tabs>
        <w:tab w:val="center" w:pos="4680"/>
        <w:tab w:val="right" w:pos="9360"/>
      </w:tabs>
      <w:jc w:val="center"/>
      <w:rPr>
        <w:color w:val="000000"/>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1350CC">
      <w:rPr>
        <w:rFonts w:ascii="Times New Roman" w:eastAsia="Times New Roman" w:hAnsi="Times New Roman" w:cs="Times New Roman"/>
        <w:noProof/>
        <w:color w:val="000000"/>
        <w:sz w:val="26"/>
        <w:szCs w:val="26"/>
      </w:rPr>
      <w:t>33</w:t>
    </w:r>
    <w:r>
      <w:rPr>
        <w:rFonts w:ascii="Times New Roman" w:eastAsia="Times New Roman" w:hAnsi="Times New Roman" w:cs="Times New Roman"/>
        <w:color w:val="000000"/>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oNotDisplayPageBoundaries/>
  <w:doNotTrackFormatting/>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246"/>
    <w:rsid w:val="00012AA4"/>
    <w:rsid w:val="000D6D07"/>
    <w:rsid w:val="001350CC"/>
    <w:rsid w:val="00147E16"/>
    <w:rsid w:val="00190F84"/>
    <w:rsid w:val="00231722"/>
    <w:rsid w:val="00267543"/>
    <w:rsid w:val="00286E92"/>
    <w:rsid w:val="00291345"/>
    <w:rsid w:val="00341C2A"/>
    <w:rsid w:val="00347301"/>
    <w:rsid w:val="003D6017"/>
    <w:rsid w:val="00423C33"/>
    <w:rsid w:val="004D6490"/>
    <w:rsid w:val="00503246"/>
    <w:rsid w:val="00553A87"/>
    <w:rsid w:val="0056623D"/>
    <w:rsid w:val="005A0917"/>
    <w:rsid w:val="005C2A2D"/>
    <w:rsid w:val="006B05D6"/>
    <w:rsid w:val="006B17AB"/>
    <w:rsid w:val="006B1DB8"/>
    <w:rsid w:val="007A3260"/>
    <w:rsid w:val="007E0A3C"/>
    <w:rsid w:val="008753FD"/>
    <w:rsid w:val="00917351"/>
    <w:rsid w:val="0096180E"/>
    <w:rsid w:val="00986C9B"/>
    <w:rsid w:val="00A2486C"/>
    <w:rsid w:val="00A35CDF"/>
    <w:rsid w:val="00B87586"/>
    <w:rsid w:val="00B929A4"/>
    <w:rsid w:val="00BA40D0"/>
    <w:rsid w:val="00BE29E3"/>
    <w:rsid w:val="00C37F74"/>
    <w:rsid w:val="00C60C9A"/>
    <w:rsid w:val="00C756D7"/>
    <w:rsid w:val="00CE5039"/>
    <w:rsid w:val="00D80A98"/>
    <w:rsid w:val="00D9040F"/>
    <w:rsid w:val="00E851A8"/>
    <w:rsid w:val="00F46B6F"/>
    <w:rsid w:val="00F65948"/>
    <w:rsid w:val="00F95019"/>
    <w:rsid w:val="00FC5F58"/>
    <w:rsid w:val="00FF19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00BD4"/>
  <w15:chartTrackingRefBased/>
  <w15:docId w15:val="{634E03C7-E5A4-4250-9CA9-231F9EB3B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before="120"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before="0" w:after="160" w:line="278" w:lineRule="auto"/>
      <w:jc w:val="left"/>
    </w:pPr>
    <w:rPr>
      <w:rFonts w:ascii="Calibri" w:eastAsia="Calibri" w:hAnsi="Calibri" w:cs="Calibri"/>
      <w:kern w:val="0"/>
      <w:sz w:val="24"/>
      <w:szCs w:val="24"/>
      <w:lang w:val="i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before="0" w:after="0"/>
      <w:jc w:val="left"/>
    </w:pPr>
    <w:rPr>
      <w:rFonts w:ascii="Calibri" w:eastAsia="Calibri" w:hAnsi="Calibri" w:cs="Calibri"/>
      <w:kern w:val="0"/>
      <w:sz w:val="24"/>
      <w:szCs w:val="24"/>
      <w:lang w:val="it"/>
      <w14:ligatures w14:val="none"/>
    </w:rPr>
  </w:style>
  <w:style w:type="character" w:styleId="FootnoteReference">
    <w:name w:val="footnote reference"/>
    <w:basedOn w:val="DefaultParagraphFont"/>
    <w:uiPriority w:val="99"/>
    <w:semiHidden/>
    <w:unhideWhenUsed/>
    <w:rPr>
      <w:vertAlign w:val="superscript"/>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03829">
      <w:bodyDiv w:val="1"/>
      <w:marLeft w:val="0"/>
      <w:marRight w:val="0"/>
      <w:marTop w:val="0"/>
      <w:marBottom w:val="0"/>
      <w:divBdr>
        <w:top w:val="none" w:sz="0" w:space="0" w:color="auto"/>
        <w:left w:val="none" w:sz="0" w:space="0" w:color="auto"/>
        <w:bottom w:val="none" w:sz="0" w:space="0" w:color="auto"/>
        <w:right w:val="none" w:sz="0" w:space="0" w:color="auto"/>
      </w:divBdr>
    </w:div>
    <w:div w:id="529346075">
      <w:bodyDiv w:val="1"/>
      <w:marLeft w:val="0"/>
      <w:marRight w:val="0"/>
      <w:marTop w:val="0"/>
      <w:marBottom w:val="0"/>
      <w:divBdr>
        <w:top w:val="none" w:sz="0" w:space="0" w:color="auto"/>
        <w:left w:val="none" w:sz="0" w:space="0" w:color="auto"/>
        <w:bottom w:val="none" w:sz="0" w:space="0" w:color="auto"/>
        <w:right w:val="none" w:sz="0" w:space="0" w:color="auto"/>
      </w:divBdr>
    </w:div>
    <w:div w:id="170263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1E5F6-2E11-43AB-92E2-027ECA4E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9674</Words>
  <Characters>55146</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Thuc Hien</dc:creator>
  <cp:keywords/>
  <dc:description/>
  <cp:lastModifiedBy>Home</cp:lastModifiedBy>
  <cp:revision>5</cp:revision>
  <dcterms:created xsi:type="dcterms:W3CDTF">2026-08-19T08:50:00Z</dcterms:created>
  <dcterms:modified xsi:type="dcterms:W3CDTF">2026-08-19T08:52:00Z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39269a39-b342-450d-b8bc-ad02fbc0e371</vt:lpwstr>
  </property>
</Properties>
</file>